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8750F" w14:textId="77777777" w:rsidR="00853FBE" w:rsidRDefault="00853FBE">
      <w:pPr>
        <w:autoSpaceDE w:val="0"/>
        <w:autoSpaceDN w:val="0"/>
        <w:adjustRightInd w:val="0"/>
        <w:spacing w:before="0"/>
        <w:jc w:val="center"/>
        <w:rPr>
          <w:rFonts w:cs="Arial"/>
          <w:b/>
          <w:bCs/>
          <w:color w:val="000000"/>
          <w:sz w:val="22"/>
          <w:szCs w:val="22"/>
        </w:rPr>
      </w:pPr>
      <w:r>
        <w:rPr>
          <w:rFonts w:cs="Arial"/>
          <w:b/>
          <w:bCs/>
          <w:color w:val="000000"/>
          <w:sz w:val="22"/>
          <w:szCs w:val="22"/>
        </w:rPr>
        <w:t>ÍNDICE</w:t>
      </w:r>
    </w:p>
    <w:p w14:paraId="601AAD6F" w14:textId="35AC36D3" w:rsidR="00E11EEC" w:rsidRDefault="00D5722F">
      <w:pPr>
        <w:pStyle w:val="TDC1"/>
        <w:tabs>
          <w:tab w:val="left" w:pos="660"/>
        </w:tabs>
        <w:rPr>
          <w:rFonts w:asciiTheme="minorHAnsi" w:eastAsiaTheme="minorEastAsia" w:hAnsiTheme="minorHAnsi" w:cstheme="minorBidi"/>
          <w:sz w:val="22"/>
        </w:rPr>
      </w:pPr>
      <w:r>
        <w:rPr>
          <w:rFonts w:cs="Arial"/>
          <w:color w:val="000000"/>
          <w:szCs w:val="20"/>
        </w:rPr>
        <w:fldChar w:fldCharType="begin"/>
      </w:r>
      <w:r w:rsidR="00853FBE">
        <w:rPr>
          <w:rFonts w:cs="Arial"/>
          <w:color w:val="000000"/>
          <w:szCs w:val="20"/>
        </w:rPr>
        <w:instrText xml:space="preserve"> </w:instrText>
      </w:r>
      <w:r w:rsidR="00E31EEF">
        <w:rPr>
          <w:rFonts w:cs="Arial"/>
          <w:color w:val="000000"/>
          <w:szCs w:val="20"/>
        </w:rPr>
        <w:instrText>TOC</w:instrText>
      </w:r>
      <w:r w:rsidR="00853FBE">
        <w:rPr>
          <w:rFonts w:cs="Arial"/>
          <w:color w:val="000000"/>
          <w:szCs w:val="20"/>
        </w:rPr>
        <w:instrText xml:space="preserve"> \o "1-3" \n \h \z \u </w:instrText>
      </w:r>
      <w:r>
        <w:rPr>
          <w:rFonts w:cs="Arial"/>
          <w:color w:val="000000"/>
          <w:szCs w:val="20"/>
        </w:rPr>
        <w:fldChar w:fldCharType="separate"/>
      </w:r>
      <w:hyperlink w:anchor="_Toc106814562" w:history="1">
        <w:r w:rsidR="00E11EEC" w:rsidRPr="00667055">
          <w:rPr>
            <w:rStyle w:val="Hipervnculo"/>
          </w:rPr>
          <w:t xml:space="preserve">1. </w:t>
        </w:r>
        <w:r w:rsidR="00E11EEC">
          <w:rPr>
            <w:rFonts w:asciiTheme="minorHAnsi" w:eastAsiaTheme="minorEastAsia" w:hAnsiTheme="minorHAnsi" w:cstheme="minorBidi"/>
            <w:sz w:val="22"/>
          </w:rPr>
          <w:tab/>
        </w:r>
        <w:r w:rsidR="00E11EEC" w:rsidRPr="00667055">
          <w:rPr>
            <w:rStyle w:val="Hipervnculo"/>
          </w:rPr>
          <w:t>Actividad de la empresa</w:t>
        </w:r>
      </w:hyperlink>
    </w:p>
    <w:p w14:paraId="7A7C5FCD" w14:textId="2681ED91" w:rsidR="00E11EEC" w:rsidRDefault="00E11EEC">
      <w:pPr>
        <w:pStyle w:val="TDC1"/>
        <w:tabs>
          <w:tab w:val="left" w:pos="660"/>
        </w:tabs>
        <w:rPr>
          <w:rFonts w:asciiTheme="minorHAnsi" w:eastAsiaTheme="minorEastAsia" w:hAnsiTheme="minorHAnsi" w:cstheme="minorBidi"/>
          <w:sz w:val="22"/>
        </w:rPr>
      </w:pPr>
      <w:hyperlink w:anchor="_Toc106814563" w:history="1">
        <w:r w:rsidRPr="00667055">
          <w:rPr>
            <w:rStyle w:val="Hipervnculo"/>
          </w:rPr>
          <w:t xml:space="preserve">2. </w:t>
        </w:r>
        <w:r>
          <w:rPr>
            <w:rFonts w:asciiTheme="minorHAnsi" w:eastAsiaTheme="minorEastAsia" w:hAnsiTheme="minorHAnsi" w:cstheme="minorBidi"/>
            <w:sz w:val="22"/>
          </w:rPr>
          <w:tab/>
        </w:r>
        <w:r w:rsidRPr="00667055">
          <w:rPr>
            <w:rStyle w:val="Hipervnculo"/>
          </w:rPr>
          <w:t>Bases de presentación de las cuentas anuales</w:t>
        </w:r>
      </w:hyperlink>
    </w:p>
    <w:p w14:paraId="10742B92" w14:textId="124B8226" w:rsidR="00E11EEC" w:rsidRDefault="00E11EEC">
      <w:pPr>
        <w:pStyle w:val="TDC2"/>
        <w:rPr>
          <w:rFonts w:asciiTheme="minorHAnsi" w:eastAsiaTheme="minorEastAsia" w:hAnsiTheme="minorHAnsi" w:cstheme="minorBidi"/>
          <w:i w:val="0"/>
          <w:sz w:val="22"/>
          <w:szCs w:val="22"/>
        </w:rPr>
      </w:pPr>
      <w:hyperlink w:anchor="_Toc106814564" w:history="1">
        <w:r w:rsidRPr="00667055">
          <w:rPr>
            <w:rStyle w:val="Hipervnculo"/>
            <w:iCs/>
          </w:rPr>
          <w:t>2.1. Imagen fiel.</w:t>
        </w:r>
      </w:hyperlink>
    </w:p>
    <w:p w14:paraId="53B82953" w14:textId="455526D9" w:rsidR="00E11EEC" w:rsidRDefault="00E11EEC">
      <w:pPr>
        <w:pStyle w:val="TDC2"/>
        <w:rPr>
          <w:rFonts w:asciiTheme="minorHAnsi" w:eastAsiaTheme="minorEastAsia" w:hAnsiTheme="minorHAnsi" w:cstheme="minorBidi"/>
          <w:i w:val="0"/>
          <w:sz w:val="22"/>
          <w:szCs w:val="22"/>
        </w:rPr>
      </w:pPr>
      <w:hyperlink w:anchor="_Toc106814565" w:history="1">
        <w:r w:rsidRPr="00667055">
          <w:rPr>
            <w:rStyle w:val="Hipervnculo"/>
            <w:iCs/>
          </w:rPr>
          <w:t>2.2. Principios contables no obligatorios aplicados.</w:t>
        </w:r>
      </w:hyperlink>
    </w:p>
    <w:p w14:paraId="5B163236" w14:textId="5B792B6F" w:rsidR="00E11EEC" w:rsidRDefault="00E11EEC">
      <w:pPr>
        <w:pStyle w:val="TDC2"/>
        <w:rPr>
          <w:rFonts w:asciiTheme="minorHAnsi" w:eastAsiaTheme="minorEastAsia" w:hAnsiTheme="minorHAnsi" w:cstheme="minorBidi"/>
          <w:i w:val="0"/>
          <w:sz w:val="22"/>
          <w:szCs w:val="22"/>
        </w:rPr>
      </w:pPr>
      <w:hyperlink w:anchor="_Toc106814566" w:history="1">
        <w:r w:rsidRPr="00667055">
          <w:rPr>
            <w:rStyle w:val="Hipervnculo"/>
            <w:iCs/>
          </w:rPr>
          <w:t>2.3. Aspectos críticos de la valoración y estimación de la incertidumbre.</w:t>
        </w:r>
      </w:hyperlink>
    </w:p>
    <w:p w14:paraId="7D913261" w14:textId="32F5D634" w:rsidR="00E11EEC" w:rsidRDefault="00E11EEC">
      <w:pPr>
        <w:pStyle w:val="TDC2"/>
        <w:rPr>
          <w:rFonts w:asciiTheme="minorHAnsi" w:eastAsiaTheme="minorEastAsia" w:hAnsiTheme="minorHAnsi" w:cstheme="minorBidi"/>
          <w:i w:val="0"/>
          <w:sz w:val="22"/>
          <w:szCs w:val="22"/>
        </w:rPr>
      </w:pPr>
      <w:hyperlink w:anchor="_Toc106814567" w:history="1">
        <w:r w:rsidRPr="00667055">
          <w:rPr>
            <w:rStyle w:val="Hipervnculo"/>
            <w:iCs/>
          </w:rPr>
          <w:t>2.4. Comparación de la información.</w:t>
        </w:r>
      </w:hyperlink>
    </w:p>
    <w:p w14:paraId="4646C19A" w14:textId="2DAD357D" w:rsidR="00E11EEC" w:rsidRDefault="00E11EEC">
      <w:pPr>
        <w:pStyle w:val="TDC2"/>
        <w:rPr>
          <w:rFonts w:asciiTheme="minorHAnsi" w:eastAsiaTheme="minorEastAsia" w:hAnsiTheme="minorHAnsi" w:cstheme="minorBidi"/>
          <w:i w:val="0"/>
          <w:sz w:val="22"/>
          <w:szCs w:val="22"/>
        </w:rPr>
      </w:pPr>
      <w:hyperlink w:anchor="_Toc106814568" w:history="1">
        <w:r w:rsidRPr="00667055">
          <w:rPr>
            <w:rStyle w:val="Hipervnculo"/>
            <w:iCs/>
          </w:rPr>
          <w:t>2.5. Agrupación de partidas.</w:t>
        </w:r>
      </w:hyperlink>
    </w:p>
    <w:p w14:paraId="237E0F48" w14:textId="6943DB2B" w:rsidR="00E11EEC" w:rsidRDefault="00E11EEC">
      <w:pPr>
        <w:pStyle w:val="TDC2"/>
        <w:rPr>
          <w:rFonts w:asciiTheme="minorHAnsi" w:eastAsiaTheme="minorEastAsia" w:hAnsiTheme="minorHAnsi" w:cstheme="minorBidi"/>
          <w:i w:val="0"/>
          <w:sz w:val="22"/>
          <w:szCs w:val="22"/>
        </w:rPr>
      </w:pPr>
      <w:hyperlink w:anchor="_Toc106814569" w:history="1">
        <w:r w:rsidRPr="00667055">
          <w:rPr>
            <w:rStyle w:val="Hipervnculo"/>
            <w:iCs/>
          </w:rPr>
          <w:t>2.6. Elementos recogidos en varias partidas.</w:t>
        </w:r>
      </w:hyperlink>
    </w:p>
    <w:p w14:paraId="361D0AEF" w14:textId="7471D8EE" w:rsidR="00E11EEC" w:rsidRDefault="00E11EEC">
      <w:pPr>
        <w:pStyle w:val="TDC2"/>
        <w:rPr>
          <w:rFonts w:asciiTheme="minorHAnsi" w:eastAsiaTheme="minorEastAsia" w:hAnsiTheme="minorHAnsi" w:cstheme="minorBidi"/>
          <w:i w:val="0"/>
          <w:sz w:val="22"/>
          <w:szCs w:val="22"/>
        </w:rPr>
      </w:pPr>
      <w:hyperlink w:anchor="_Toc106814570" w:history="1">
        <w:r w:rsidRPr="00667055">
          <w:rPr>
            <w:rStyle w:val="Hipervnculo"/>
            <w:iCs/>
          </w:rPr>
          <w:t>2.7. Cambios en criterios contables.</w:t>
        </w:r>
      </w:hyperlink>
    </w:p>
    <w:p w14:paraId="13393B22" w14:textId="554CB820" w:rsidR="00E11EEC" w:rsidRDefault="00E11EEC">
      <w:pPr>
        <w:pStyle w:val="TDC2"/>
        <w:rPr>
          <w:rFonts w:asciiTheme="minorHAnsi" w:eastAsiaTheme="minorEastAsia" w:hAnsiTheme="minorHAnsi" w:cstheme="minorBidi"/>
          <w:i w:val="0"/>
          <w:sz w:val="22"/>
          <w:szCs w:val="22"/>
        </w:rPr>
      </w:pPr>
      <w:hyperlink w:anchor="_Toc106814571" w:history="1">
        <w:r w:rsidRPr="00667055">
          <w:rPr>
            <w:rStyle w:val="Hipervnculo"/>
            <w:iCs/>
          </w:rPr>
          <w:t>2.8. Corrección de errores.</w:t>
        </w:r>
      </w:hyperlink>
    </w:p>
    <w:p w14:paraId="159E45B2" w14:textId="77C6059C" w:rsidR="00E11EEC" w:rsidRDefault="00E11EEC">
      <w:pPr>
        <w:pStyle w:val="TDC2"/>
        <w:rPr>
          <w:rFonts w:asciiTheme="minorHAnsi" w:eastAsiaTheme="minorEastAsia" w:hAnsiTheme="minorHAnsi" w:cstheme="minorBidi"/>
          <w:i w:val="0"/>
          <w:sz w:val="22"/>
          <w:szCs w:val="22"/>
        </w:rPr>
      </w:pPr>
      <w:hyperlink w:anchor="_Toc106814572" w:history="1">
        <w:r w:rsidRPr="00667055">
          <w:rPr>
            <w:rStyle w:val="Hipervnculo"/>
            <w:iCs/>
          </w:rPr>
          <w:t>2.9. Importancia Relativa</w:t>
        </w:r>
      </w:hyperlink>
    </w:p>
    <w:p w14:paraId="73E475EF" w14:textId="5406F92C" w:rsidR="00E11EEC" w:rsidRDefault="00E11EEC">
      <w:pPr>
        <w:pStyle w:val="TDC1"/>
        <w:tabs>
          <w:tab w:val="left" w:pos="660"/>
        </w:tabs>
        <w:rPr>
          <w:rFonts w:asciiTheme="minorHAnsi" w:eastAsiaTheme="minorEastAsia" w:hAnsiTheme="minorHAnsi" w:cstheme="minorBidi"/>
          <w:sz w:val="22"/>
        </w:rPr>
      </w:pPr>
      <w:hyperlink w:anchor="_Toc106814573" w:history="1">
        <w:r w:rsidRPr="00667055">
          <w:rPr>
            <w:rStyle w:val="Hipervnculo"/>
          </w:rPr>
          <w:t xml:space="preserve">3. </w:t>
        </w:r>
        <w:r>
          <w:rPr>
            <w:rFonts w:asciiTheme="minorHAnsi" w:eastAsiaTheme="minorEastAsia" w:hAnsiTheme="minorHAnsi" w:cstheme="minorBidi"/>
            <w:sz w:val="22"/>
          </w:rPr>
          <w:tab/>
        </w:r>
        <w:r w:rsidRPr="00667055">
          <w:rPr>
            <w:rStyle w:val="Hipervnculo"/>
          </w:rPr>
          <w:t>Aplicación de resultados</w:t>
        </w:r>
      </w:hyperlink>
    </w:p>
    <w:p w14:paraId="1E8D3B7A" w14:textId="3E47C7AD" w:rsidR="00E11EEC" w:rsidRDefault="00E11EEC">
      <w:pPr>
        <w:pStyle w:val="TDC1"/>
        <w:tabs>
          <w:tab w:val="left" w:pos="660"/>
        </w:tabs>
        <w:rPr>
          <w:rFonts w:asciiTheme="minorHAnsi" w:eastAsiaTheme="minorEastAsia" w:hAnsiTheme="minorHAnsi" w:cstheme="minorBidi"/>
          <w:sz w:val="22"/>
        </w:rPr>
      </w:pPr>
      <w:hyperlink w:anchor="_Toc106814574" w:history="1">
        <w:r w:rsidRPr="00667055">
          <w:rPr>
            <w:rStyle w:val="Hipervnculo"/>
          </w:rPr>
          <w:t xml:space="preserve">4. </w:t>
        </w:r>
        <w:r>
          <w:rPr>
            <w:rFonts w:asciiTheme="minorHAnsi" w:eastAsiaTheme="minorEastAsia" w:hAnsiTheme="minorHAnsi" w:cstheme="minorBidi"/>
            <w:sz w:val="22"/>
          </w:rPr>
          <w:tab/>
        </w:r>
        <w:r w:rsidRPr="00667055">
          <w:rPr>
            <w:rStyle w:val="Hipervnculo"/>
          </w:rPr>
          <w:t>Normas de registro y valoración</w:t>
        </w:r>
      </w:hyperlink>
    </w:p>
    <w:p w14:paraId="2B2F6F4B" w14:textId="15F029BC" w:rsidR="00E11EEC" w:rsidRDefault="00E11EEC">
      <w:pPr>
        <w:pStyle w:val="TDC2"/>
        <w:rPr>
          <w:rFonts w:asciiTheme="minorHAnsi" w:eastAsiaTheme="minorEastAsia" w:hAnsiTheme="minorHAnsi" w:cstheme="minorBidi"/>
          <w:i w:val="0"/>
          <w:sz w:val="22"/>
          <w:szCs w:val="22"/>
        </w:rPr>
      </w:pPr>
      <w:hyperlink w:anchor="_Toc106814575" w:history="1">
        <w:r w:rsidRPr="00667055">
          <w:rPr>
            <w:rStyle w:val="Hipervnculo"/>
            <w:iCs/>
          </w:rPr>
          <w:t>4.1. Inmovilizado intangible.</w:t>
        </w:r>
      </w:hyperlink>
    </w:p>
    <w:p w14:paraId="55CD5E05" w14:textId="2A40229A" w:rsidR="00E11EEC" w:rsidRDefault="00E11EEC">
      <w:pPr>
        <w:pStyle w:val="TDC2"/>
        <w:rPr>
          <w:rFonts w:asciiTheme="minorHAnsi" w:eastAsiaTheme="minorEastAsia" w:hAnsiTheme="minorHAnsi" w:cstheme="minorBidi"/>
          <w:i w:val="0"/>
          <w:sz w:val="22"/>
          <w:szCs w:val="22"/>
        </w:rPr>
      </w:pPr>
      <w:hyperlink w:anchor="_Toc106814576" w:history="1">
        <w:r w:rsidRPr="00667055">
          <w:rPr>
            <w:rStyle w:val="Hipervnculo"/>
            <w:iCs/>
          </w:rPr>
          <w:t>4.2. Inmovilizado material.</w:t>
        </w:r>
      </w:hyperlink>
    </w:p>
    <w:p w14:paraId="429CD47C" w14:textId="2D231AFD" w:rsidR="00E11EEC" w:rsidRDefault="00E11EEC">
      <w:pPr>
        <w:pStyle w:val="TDC2"/>
        <w:rPr>
          <w:rFonts w:asciiTheme="minorHAnsi" w:eastAsiaTheme="minorEastAsia" w:hAnsiTheme="minorHAnsi" w:cstheme="minorBidi"/>
          <w:i w:val="0"/>
          <w:sz w:val="22"/>
          <w:szCs w:val="22"/>
        </w:rPr>
      </w:pPr>
      <w:hyperlink w:anchor="_Toc106814577" w:history="1">
        <w:r w:rsidRPr="00667055">
          <w:rPr>
            <w:rStyle w:val="Hipervnculo"/>
            <w:iCs/>
          </w:rPr>
          <w:t>4.3. Inversiones Inmobiliarias.</w:t>
        </w:r>
      </w:hyperlink>
    </w:p>
    <w:p w14:paraId="15907DC1" w14:textId="4636D975" w:rsidR="00E11EEC" w:rsidRDefault="00E11EEC">
      <w:pPr>
        <w:pStyle w:val="TDC2"/>
        <w:rPr>
          <w:rFonts w:asciiTheme="minorHAnsi" w:eastAsiaTheme="minorEastAsia" w:hAnsiTheme="minorHAnsi" w:cstheme="minorBidi"/>
          <w:i w:val="0"/>
          <w:sz w:val="22"/>
          <w:szCs w:val="22"/>
        </w:rPr>
      </w:pPr>
      <w:hyperlink w:anchor="_Toc106814578" w:history="1">
        <w:r w:rsidRPr="00667055">
          <w:rPr>
            <w:rStyle w:val="Hipervnculo"/>
            <w:iCs/>
          </w:rPr>
          <w:t>4.4. Arrendamientos.</w:t>
        </w:r>
      </w:hyperlink>
    </w:p>
    <w:p w14:paraId="63350D62" w14:textId="7D14C6B9" w:rsidR="00E11EEC" w:rsidRDefault="00E11EEC">
      <w:pPr>
        <w:pStyle w:val="TDC2"/>
        <w:rPr>
          <w:rFonts w:asciiTheme="minorHAnsi" w:eastAsiaTheme="minorEastAsia" w:hAnsiTheme="minorHAnsi" w:cstheme="minorBidi"/>
          <w:i w:val="0"/>
          <w:sz w:val="22"/>
          <w:szCs w:val="22"/>
        </w:rPr>
      </w:pPr>
      <w:hyperlink w:anchor="_Toc106814579" w:history="1">
        <w:r w:rsidRPr="00667055">
          <w:rPr>
            <w:rStyle w:val="Hipervnculo"/>
            <w:iCs/>
          </w:rPr>
          <w:t>4.5. Permutas.</w:t>
        </w:r>
      </w:hyperlink>
    </w:p>
    <w:p w14:paraId="054F5241" w14:textId="4BF7A094" w:rsidR="00E11EEC" w:rsidRDefault="00E11EEC">
      <w:pPr>
        <w:pStyle w:val="TDC2"/>
        <w:rPr>
          <w:rFonts w:asciiTheme="minorHAnsi" w:eastAsiaTheme="minorEastAsia" w:hAnsiTheme="minorHAnsi" w:cstheme="minorBidi"/>
          <w:i w:val="0"/>
          <w:sz w:val="22"/>
          <w:szCs w:val="22"/>
        </w:rPr>
      </w:pPr>
      <w:hyperlink w:anchor="_Toc106814580" w:history="1">
        <w:r w:rsidRPr="00667055">
          <w:rPr>
            <w:rStyle w:val="Hipervnculo"/>
            <w:iCs/>
          </w:rPr>
          <w:t>4.6. Instrumentos financieros.</w:t>
        </w:r>
      </w:hyperlink>
    </w:p>
    <w:p w14:paraId="4F133F6F" w14:textId="004ED8AA" w:rsidR="00E11EEC" w:rsidRDefault="00E11EEC">
      <w:pPr>
        <w:pStyle w:val="TDC2"/>
        <w:rPr>
          <w:rFonts w:asciiTheme="minorHAnsi" w:eastAsiaTheme="minorEastAsia" w:hAnsiTheme="minorHAnsi" w:cstheme="minorBidi"/>
          <w:i w:val="0"/>
          <w:sz w:val="22"/>
          <w:szCs w:val="22"/>
        </w:rPr>
      </w:pPr>
      <w:hyperlink w:anchor="_Toc106814581" w:history="1">
        <w:r w:rsidRPr="00667055">
          <w:rPr>
            <w:rStyle w:val="Hipervnculo"/>
          </w:rPr>
          <w:t>Un Instrumento de patrimonio representa una participación residual en el Patrimonio de la Sociedad, una vez de</w:t>
        </w:r>
        <w:r w:rsidRPr="00667055">
          <w:rPr>
            <w:rStyle w:val="Hipervnculo"/>
          </w:rPr>
          <w:t>d</w:t>
        </w:r>
        <w:r w:rsidRPr="00667055">
          <w:rPr>
            <w:rStyle w:val="Hipervnculo"/>
          </w:rPr>
          <w:t>ucidos todos sus pasivos.</w:t>
        </w:r>
      </w:hyperlink>
    </w:p>
    <w:p w14:paraId="30756B87" w14:textId="403AE6DD" w:rsidR="00E11EEC" w:rsidRDefault="00E11EEC">
      <w:pPr>
        <w:pStyle w:val="TDC2"/>
        <w:rPr>
          <w:rFonts w:asciiTheme="minorHAnsi" w:eastAsiaTheme="minorEastAsia" w:hAnsiTheme="minorHAnsi" w:cstheme="minorBidi"/>
          <w:i w:val="0"/>
          <w:sz w:val="22"/>
          <w:szCs w:val="22"/>
        </w:rPr>
      </w:pPr>
      <w:hyperlink w:anchor="_Toc106814582" w:history="1">
        <w:r w:rsidRPr="00667055">
          <w:rPr>
            <w:rStyle w:val="Hipervnculo"/>
          </w:rPr>
          <w:t>Los Instrumentos de patrimonio emitidos por la Sociedad se registran en el Patrimonio neto por el importe recibido, neto de los gastos de emisión.</w:t>
        </w:r>
      </w:hyperlink>
    </w:p>
    <w:p w14:paraId="23AAEA98" w14:textId="522B4517" w:rsidR="00E11EEC" w:rsidRDefault="00E11EEC">
      <w:pPr>
        <w:pStyle w:val="TDC2"/>
        <w:rPr>
          <w:rFonts w:asciiTheme="minorHAnsi" w:eastAsiaTheme="minorEastAsia" w:hAnsiTheme="minorHAnsi" w:cstheme="minorBidi"/>
          <w:i w:val="0"/>
          <w:sz w:val="22"/>
          <w:szCs w:val="22"/>
        </w:rPr>
      </w:pPr>
      <w:hyperlink w:anchor="_Toc106814583" w:history="1">
        <w:r w:rsidRPr="00667055">
          <w:rPr>
            <w:rStyle w:val="Hipervnculo"/>
          </w:rPr>
          <w:t>Las Acciones propias que adquiere la Sociedad durante el ejercicio se registran por el valor de la contraprestación entregada a cambio, directamente como menor valor del Patrimonio neto. Los resultados derivados de la compra, venta, emisión o amortización de los Instrumentos de patrimonio propio, se reconocen directamente en Patrimonio neto, sin que en ningún caso se registre resultado alguno en la cuenta de pérdidas y ganancias.</w:t>
        </w:r>
      </w:hyperlink>
    </w:p>
    <w:p w14:paraId="6EF686CF" w14:textId="4B3AE3F5" w:rsidR="00E11EEC" w:rsidRDefault="00E11EEC">
      <w:pPr>
        <w:pStyle w:val="TDC2"/>
        <w:rPr>
          <w:rFonts w:asciiTheme="minorHAnsi" w:eastAsiaTheme="minorEastAsia" w:hAnsiTheme="minorHAnsi" w:cstheme="minorBidi"/>
          <w:i w:val="0"/>
          <w:sz w:val="22"/>
          <w:szCs w:val="22"/>
        </w:rPr>
      </w:pPr>
      <w:hyperlink w:anchor="_Toc106814584" w:history="1">
        <w:r w:rsidRPr="00667055">
          <w:rPr>
            <w:rStyle w:val="Hipervnculo"/>
            <w:iCs/>
          </w:rPr>
          <w:t>4.7. Existencias.</w:t>
        </w:r>
      </w:hyperlink>
    </w:p>
    <w:p w14:paraId="029E98E2" w14:textId="40AF2C24" w:rsidR="00E11EEC" w:rsidRDefault="00E11EEC">
      <w:pPr>
        <w:pStyle w:val="TDC2"/>
        <w:rPr>
          <w:rFonts w:asciiTheme="minorHAnsi" w:eastAsiaTheme="minorEastAsia" w:hAnsiTheme="minorHAnsi" w:cstheme="minorBidi"/>
          <w:i w:val="0"/>
          <w:sz w:val="22"/>
          <w:szCs w:val="22"/>
        </w:rPr>
      </w:pPr>
      <w:hyperlink w:anchor="_Toc106814585" w:history="1">
        <w:r w:rsidRPr="00667055">
          <w:rPr>
            <w:rStyle w:val="Hipervnculo"/>
            <w:iCs/>
          </w:rPr>
          <w:t>4.8. Impuestos sobre beneficios.</w:t>
        </w:r>
      </w:hyperlink>
    </w:p>
    <w:p w14:paraId="195BB5F3" w14:textId="14527A58" w:rsidR="00E11EEC" w:rsidRDefault="00E11EEC">
      <w:pPr>
        <w:pStyle w:val="TDC2"/>
        <w:rPr>
          <w:rFonts w:asciiTheme="minorHAnsi" w:eastAsiaTheme="minorEastAsia" w:hAnsiTheme="minorHAnsi" w:cstheme="minorBidi"/>
          <w:i w:val="0"/>
          <w:sz w:val="22"/>
          <w:szCs w:val="22"/>
        </w:rPr>
      </w:pPr>
      <w:hyperlink w:anchor="_Toc106814586" w:history="1">
        <w:r w:rsidRPr="00667055">
          <w:rPr>
            <w:rStyle w:val="Hipervnculo"/>
            <w:iCs/>
          </w:rPr>
          <w:t>4.9. Ingresos y gastos.</w:t>
        </w:r>
      </w:hyperlink>
    </w:p>
    <w:p w14:paraId="6E5FE652" w14:textId="29F4291F" w:rsidR="00E11EEC" w:rsidRDefault="00E11EEC">
      <w:pPr>
        <w:pStyle w:val="TDC2"/>
        <w:rPr>
          <w:rFonts w:asciiTheme="minorHAnsi" w:eastAsiaTheme="minorEastAsia" w:hAnsiTheme="minorHAnsi" w:cstheme="minorBidi"/>
          <w:i w:val="0"/>
          <w:sz w:val="22"/>
          <w:szCs w:val="22"/>
        </w:rPr>
      </w:pPr>
      <w:hyperlink w:anchor="_Toc106814587" w:history="1">
        <w:r w:rsidRPr="00667055">
          <w:rPr>
            <w:rStyle w:val="Hipervnculo"/>
            <w:iCs/>
          </w:rPr>
          <w:t>4.10. Provisiones y contingencias.</w:t>
        </w:r>
      </w:hyperlink>
    </w:p>
    <w:p w14:paraId="7013CDB9" w14:textId="525ED534" w:rsidR="00E11EEC" w:rsidRDefault="00E11EEC">
      <w:pPr>
        <w:pStyle w:val="TDC2"/>
        <w:rPr>
          <w:rFonts w:asciiTheme="minorHAnsi" w:eastAsiaTheme="minorEastAsia" w:hAnsiTheme="minorHAnsi" w:cstheme="minorBidi"/>
          <w:i w:val="0"/>
          <w:sz w:val="22"/>
          <w:szCs w:val="22"/>
        </w:rPr>
      </w:pPr>
      <w:hyperlink w:anchor="_Toc106814588" w:history="1">
        <w:r w:rsidRPr="00667055">
          <w:rPr>
            <w:rStyle w:val="Hipervnculo"/>
            <w:iCs/>
          </w:rPr>
          <w:t>4.11. Elementos patrimoniales de naturaleza medioambiental.</w:t>
        </w:r>
      </w:hyperlink>
    </w:p>
    <w:p w14:paraId="42C82ED0" w14:textId="1ED3104B" w:rsidR="00E11EEC" w:rsidRDefault="00E11EEC">
      <w:pPr>
        <w:pStyle w:val="TDC2"/>
        <w:rPr>
          <w:rFonts w:asciiTheme="minorHAnsi" w:eastAsiaTheme="minorEastAsia" w:hAnsiTheme="minorHAnsi" w:cstheme="minorBidi"/>
          <w:i w:val="0"/>
          <w:sz w:val="22"/>
          <w:szCs w:val="22"/>
        </w:rPr>
      </w:pPr>
      <w:hyperlink w:anchor="_Toc106814589" w:history="1">
        <w:r w:rsidRPr="00667055">
          <w:rPr>
            <w:rStyle w:val="Hipervnculo"/>
            <w:iCs/>
          </w:rPr>
          <w:t>4.12. Criterios empleados para el registro y valoración de los gastos de personal.</w:t>
        </w:r>
      </w:hyperlink>
    </w:p>
    <w:p w14:paraId="14B8BE1A" w14:textId="7B91565F" w:rsidR="00E11EEC" w:rsidRDefault="00E11EEC">
      <w:pPr>
        <w:pStyle w:val="TDC2"/>
        <w:rPr>
          <w:rFonts w:asciiTheme="minorHAnsi" w:eastAsiaTheme="minorEastAsia" w:hAnsiTheme="minorHAnsi" w:cstheme="minorBidi"/>
          <w:i w:val="0"/>
          <w:sz w:val="22"/>
          <w:szCs w:val="22"/>
        </w:rPr>
      </w:pPr>
      <w:hyperlink w:anchor="_Toc106814590" w:history="1">
        <w:r w:rsidRPr="00667055">
          <w:rPr>
            <w:rStyle w:val="Hipervnculo"/>
            <w:iCs/>
          </w:rPr>
          <w:t>4.13.</w:t>
        </w:r>
        <w:r w:rsidRPr="00667055">
          <w:rPr>
            <w:rStyle w:val="Hipervnculo"/>
          </w:rPr>
          <w:t xml:space="preserve"> </w:t>
        </w:r>
        <w:r w:rsidRPr="00667055">
          <w:rPr>
            <w:rStyle w:val="Hipervnculo"/>
            <w:iCs/>
          </w:rPr>
          <w:t>Pagos basados en acciones.</w:t>
        </w:r>
      </w:hyperlink>
    </w:p>
    <w:p w14:paraId="0E61AB70" w14:textId="76F7B99C" w:rsidR="00E11EEC" w:rsidRDefault="00E11EEC">
      <w:pPr>
        <w:pStyle w:val="TDC2"/>
        <w:rPr>
          <w:rFonts w:asciiTheme="minorHAnsi" w:eastAsiaTheme="minorEastAsia" w:hAnsiTheme="minorHAnsi" w:cstheme="minorBidi"/>
          <w:i w:val="0"/>
          <w:sz w:val="22"/>
          <w:szCs w:val="22"/>
        </w:rPr>
      </w:pPr>
      <w:hyperlink w:anchor="_Toc106814591" w:history="1">
        <w:r w:rsidRPr="00667055">
          <w:rPr>
            <w:rStyle w:val="Hipervnculo"/>
            <w:iCs/>
          </w:rPr>
          <w:t>4.14.</w:t>
        </w:r>
        <w:r w:rsidRPr="00667055">
          <w:rPr>
            <w:rStyle w:val="Hipervnculo"/>
          </w:rPr>
          <w:t xml:space="preserve"> </w:t>
        </w:r>
        <w:r w:rsidRPr="00667055">
          <w:rPr>
            <w:rStyle w:val="Hipervnculo"/>
            <w:iCs/>
          </w:rPr>
          <w:t>Subvenciones, donaciones y legados.</w:t>
        </w:r>
      </w:hyperlink>
    </w:p>
    <w:p w14:paraId="53FA9FCF" w14:textId="2E1CC255" w:rsidR="00E11EEC" w:rsidRDefault="00E11EEC">
      <w:pPr>
        <w:pStyle w:val="TDC2"/>
        <w:rPr>
          <w:rFonts w:asciiTheme="minorHAnsi" w:eastAsiaTheme="minorEastAsia" w:hAnsiTheme="minorHAnsi" w:cstheme="minorBidi"/>
          <w:i w:val="0"/>
          <w:sz w:val="22"/>
          <w:szCs w:val="22"/>
        </w:rPr>
      </w:pPr>
      <w:hyperlink w:anchor="_Toc106814592" w:history="1">
        <w:r w:rsidRPr="00667055">
          <w:rPr>
            <w:rStyle w:val="Hipervnculo"/>
            <w:iCs/>
          </w:rPr>
          <w:t>4.15.</w:t>
        </w:r>
        <w:r w:rsidRPr="00667055">
          <w:rPr>
            <w:rStyle w:val="Hipervnculo"/>
          </w:rPr>
          <w:t xml:space="preserve"> </w:t>
        </w:r>
        <w:r w:rsidRPr="00667055">
          <w:rPr>
            <w:rStyle w:val="Hipervnculo"/>
            <w:iCs/>
          </w:rPr>
          <w:t>Criterios empleados en transacciones entre partes vinculadas.</w:t>
        </w:r>
      </w:hyperlink>
    </w:p>
    <w:p w14:paraId="50D1A3E9" w14:textId="69F6FD82" w:rsidR="00E11EEC" w:rsidRDefault="00E11EEC">
      <w:pPr>
        <w:pStyle w:val="TDC1"/>
        <w:tabs>
          <w:tab w:val="left" w:pos="660"/>
        </w:tabs>
        <w:rPr>
          <w:rFonts w:asciiTheme="minorHAnsi" w:eastAsiaTheme="minorEastAsia" w:hAnsiTheme="minorHAnsi" w:cstheme="minorBidi"/>
          <w:sz w:val="22"/>
        </w:rPr>
      </w:pPr>
      <w:hyperlink w:anchor="_Toc106814593" w:history="1">
        <w:r w:rsidRPr="00667055">
          <w:rPr>
            <w:rStyle w:val="Hipervnculo"/>
          </w:rPr>
          <w:t xml:space="preserve">5. </w:t>
        </w:r>
        <w:r>
          <w:rPr>
            <w:rFonts w:asciiTheme="minorHAnsi" w:eastAsiaTheme="minorEastAsia" w:hAnsiTheme="minorHAnsi" w:cstheme="minorBidi"/>
            <w:sz w:val="22"/>
          </w:rPr>
          <w:tab/>
        </w:r>
        <w:r w:rsidRPr="00667055">
          <w:rPr>
            <w:rStyle w:val="Hipervnculo"/>
          </w:rPr>
          <w:t>Inmovilizado material</w:t>
        </w:r>
      </w:hyperlink>
    </w:p>
    <w:p w14:paraId="158A0813" w14:textId="171DFEEB" w:rsidR="00E11EEC" w:rsidRDefault="00E11EEC">
      <w:pPr>
        <w:pStyle w:val="TDC1"/>
        <w:tabs>
          <w:tab w:val="left" w:pos="660"/>
        </w:tabs>
        <w:rPr>
          <w:rFonts w:asciiTheme="minorHAnsi" w:eastAsiaTheme="minorEastAsia" w:hAnsiTheme="minorHAnsi" w:cstheme="minorBidi"/>
          <w:sz w:val="22"/>
        </w:rPr>
      </w:pPr>
      <w:hyperlink w:anchor="_Toc106814594" w:history="1">
        <w:r w:rsidRPr="00667055">
          <w:rPr>
            <w:rStyle w:val="Hipervnculo"/>
          </w:rPr>
          <w:t xml:space="preserve">6. </w:t>
        </w:r>
        <w:r>
          <w:rPr>
            <w:rFonts w:asciiTheme="minorHAnsi" w:eastAsiaTheme="minorEastAsia" w:hAnsiTheme="minorHAnsi" w:cstheme="minorBidi"/>
            <w:sz w:val="22"/>
          </w:rPr>
          <w:tab/>
        </w:r>
        <w:r w:rsidRPr="00667055">
          <w:rPr>
            <w:rStyle w:val="Hipervnculo"/>
          </w:rPr>
          <w:t>Inversiones inmobiliarias</w:t>
        </w:r>
      </w:hyperlink>
    </w:p>
    <w:p w14:paraId="6B647FFD" w14:textId="6999B601" w:rsidR="00E11EEC" w:rsidRDefault="00E11EEC">
      <w:pPr>
        <w:pStyle w:val="TDC1"/>
        <w:tabs>
          <w:tab w:val="left" w:pos="660"/>
        </w:tabs>
        <w:rPr>
          <w:rFonts w:asciiTheme="minorHAnsi" w:eastAsiaTheme="minorEastAsia" w:hAnsiTheme="minorHAnsi" w:cstheme="minorBidi"/>
          <w:sz w:val="22"/>
        </w:rPr>
      </w:pPr>
      <w:hyperlink w:anchor="_Toc106814595" w:history="1">
        <w:r w:rsidRPr="00667055">
          <w:rPr>
            <w:rStyle w:val="Hipervnculo"/>
          </w:rPr>
          <w:t xml:space="preserve">7. </w:t>
        </w:r>
        <w:r>
          <w:rPr>
            <w:rFonts w:asciiTheme="minorHAnsi" w:eastAsiaTheme="minorEastAsia" w:hAnsiTheme="minorHAnsi" w:cstheme="minorBidi"/>
            <w:sz w:val="22"/>
          </w:rPr>
          <w:tab/>
        </w:r>
        <w:r w:rsidRPr="00667055">
          <w:rPr>
            <w:rStyle w:val="Hipervnculo"/>
          </w:rPr>
          <w:t>Inmovilizado intangible</w:t>
        </w:r>
      </w:hyperlink>
    </w:p>
    <w:p w14:paraId="098F0ADE" w14:textId="0FEC13C0" w:rsidR="00E11EEC" w:rsidRDefault="00E11EEC">
      <w:pPr>
        <w:pStyle w:val="TDC2"/>
        <w:tabs>
          <w:tab w:val="left" w:pos="880"/>
        </w:tabs>
        <w:rPr>
          <w:rFonts w:asciiTheme="minorHAnsi" w:eastAsiaTheme="minorEastAsia" w:hAnsiTheme="minorHAnsi" w:cstheme="minorBidi"/>
          <w:i w:val="0"/>
          <w:sz w:val="22"/>
          <w:szCs w:val="22"/>
        </w:rPr>
      </w:pPr>
      <w:hyperlink w:anchor="_Toc106814596" w:history="1">
        <w:r w:rsidRPr="00667055">
          <w:rPr>
            <w:rStyle w:val="Hipervnculo"/>
            <w:iCs/>
          </w:rPr>
          <w:t xml:space="preserve">7.1 </w:t>
        </w:r>
        <w:r>
          <w:rPr>
            <w:rFonts w:asciiTheme="minorHAnsi" w:eastAsiaTheme="minorEastAsia" w:hAnsiTheme="minorHAnsi" w:cstheme="minorBidi"/>
            <w:i w:val="0"/>
            <w:sz w:val="22"/>
            <w:szCs w:val="22"/>
          </w:rPr>
          <w:tab/>
        </w:r>
        <w:r w:rsidRPr="00667055">
          <w:rPr>
            <w:rStyle w:val="Hipervnculo"/>
            <w:iCs/>
          </w:rPr>
          <w:t>General</w:t>
        </w:r>
      </w:hyperlink>
    </w:p>
    <w:p w14:paraId="4FA0A729" w14:textId="1913DC05" w:rsidR="00E11EEC" w:rsidRDefault="00E11EEC">
      <w:pPr>
        <w:pStyle w:val="TDC1"/>
        <w:tabs>
          <w:tab w:val="left" w:pos="660"/>
        </w:tabs>
        <w:rPr>
          <w:rFonts w:asciiTheme="minorHAnsi" w:eastAsiaTheme="minorEastAsia" w:hAnsiTheme="minorHAnsi" w:cstheme="minorBidi"/>
          <w:sz w:val="22"/>
        </w:rPr>
      </w:pPr>
      <w:hyperlink w:anchor="_Toc106814597" w:history="1">
        <w:r w:rsidRPr="00667055">
          <w:rPr>
            <w:rStyle w:val="Hipervnculo"/>
          </w:rPr>
          <w:t xml:space="preserve">8. </w:t>
        </w:r>
        <w:r>
          <w:rPr>
            <w:rFonts w:asciiTheme="minorHAnsi" w:eastAsiaTheme="minorEastAsia" w:hAnsiTheme="minorHAnsi" w:cstheme="minorBidi"/>
            <w:sz w:val="22"/>
          </w:rPr>
          <w:tab/>
        </w:r>
        <w:r w:rsidRPr="00667055">
          <w:rPr>
            <w:rStyle w:val="Hipervnculo"/>
          </w:rPr>
          <w:t>Arrendamientos y otras operaciones de naturaleza similar</w:t>
        </w:r>
      </w:hyperlink>
    </w:p>
    <w:p w14:paraId="6139B8CB" w14:textId="6E667704" w:rsidR="00E11EEC" w:rsidRDefault="00E11EEC">
      <w:pPr>
        <w:pStyle w:val="TDC2"/>
        <w:tabs>
          <w:tab w:val="left" w:pos="880"/>
        </w:tabs>
        <w:rPr>
          <w:rFonts w:asciiTheme="minorHAnsi" w:eastAsiaTheme="minorEastAsia" w:hAnsiTheme="minorHAnsi" w:cstheme="minorBidi"/>
          <w:i w:val="0"/>
          <w:sz w:val="22"/>
          <w:szCs w:val="22"/>
        </w:rPr>
      </w:pPr>
      <w:hyperlink w:anchor="_Toc106814598" w:history="1">
        <w:r w:rsidRPr="00667055">
          <w:rPr>
            <w:rStyle w:val="Hipervnculo"/>
            <w:iCs/>
          </w:rPr>
          <w:t xml:space="preserve">8.1 </w:t>
        </w:r>
        <w:r>
          <w:rPr>
            <w:rFonts w:asciiTheme="minorHAnsi" w:eastAsiaTheme="minorEastAsia" w:hAnsiTheme="minorHAnsi" w:cstheme="minorBidi"/>
            <w:i w:val="0"/>
            <w:sz w:val="22"/>
            <w:szCs w:val="22"/>
          </w:rPr>
          <w:tab/>
        </w:r>
        <w:r w:rsidRPr="00667055">
          <w:rPr>
            <w:rStyle w:val="Hipervnculo"/>
            <w:iCs/>
          </w:rPr>
          <w:t>Arrendamientos financieros</w:t>
        </w:r>
      </w:hyperlink>
    </w:p>
    <w:p w14:paraId="7E7328F9" w14:textId="0F0FDA52" w:rsidR="00E11EEC" w:rsidRDefault="00E11EEC">
      <w:pPr>
        <w:pStyle w:val="TDC2"/>
        <w:tabs>
          <w:tab w:val="left" w:pos="880"/>
        </w:tabs>
        <w:rPr>
          <w:rFonts w:asciiTheme="minorHAnsi" w:eastAsiaTheme="minorEastAsia" w:hAnsiTheme="minorHAnsi" w:cstheme="minorBidi"/>
          <w:i w:val="0"/>
          <w:sz w:val="22"/>
          <w:szCs w:val="22"/>
        </w:rPr>
      </w:pPr>
      <w:hyperlink w:anchor="_Toc106814599" w:history="1">
        <w:r w:rsidRPr="00667055">
          <w:rPr>
            <w:rStyle w:val="Hipervnculo"/>
            <w:iCs/>
          </w:rPr>
          <w:t xml:space="preserve">8.2 </w:t>
        </w:r>
        <w:r>
          <w:rPr>
            <w:rFonts w:asciiTheme="minorHAnsi" w:eastAsiaTheme="minorEastAsia" w:hAnsiTheme="minorHAnsi" w:cstheme="minorBidi"/>
            <w:i w:val="0"/>
            <w:sz w:val="22"/>
            <w:szCs w:val="22"/>
          </w:rPr>
          <w:tab/>
        </w:r>
        <w:r w:rsidRPr="00667055">
          <w:rPr>
            <w:rStyle w:val="Hipervnculo"/>
            <w:iCs/>
          </w:rPr>
          <w:t>Arrendamientos operativos</w:t>
        </w:r>
      </w:hyperlink>
    </w:p>
    <w:p w14:paraId="22F7C182" w14:textId="5484E7BD" w:rsidR="00E11EEC" w:rsidRDefault="00E11EEC">
      <w:pPr>
        <w:pStyle w:val="TDC1"/>
        <w:tabs>
          <w:tab w:val="left" w:pos="660"/>
        </w:tabs>
        <w:rPr>
          <w:rFonts w:asciiTheme="minorHAnsi" w:eastAsiaTheme="minorEastAsia" w:hAnsiTheme="minorHAnsi" w:cstheme="minorBidi"/>
          <w:sz w:val="22"/>
        </w:rPr>
      </w:pPr>
      <w:hyperlink w:anchor="_Toc106814600" w:history="1">
        <w:r w:rsidRPr="00667055">
          <w:rPr>
            <w:rStyle w:val="Hipervnculo"/>
          </w:rPr>
          <w:t xml:space="preserve">9. </w:t>
        </w:r>
        <w:r>
          <w:rPr>
            <w:rFonts w:asciiTheme="minorHAnsi" w:eastAsiaTheme="minorEastAsia" w:hAnsiTheme="minorHAnsi" w:cstheme="minorBidi"/>
            <w:sz w:val="22"/>
          </w:rPr>
          <w:tab/>
        </w:r>
        <w:r w:rsidRPr="00667055">
          <w:rPr>
            <w:rStyle w:val="Hipervnculo"/>
          </w:rPr>
          <w:t>Instrumentos financieros</w:t>
        </w:r>
      </w:hyperlink>
    </w:p>
    <w:p w14:paraId="15C7652E" w14:textId="6AE5CB22" w:rsidR="00E11EEC" w:rsidRDefault="00E11EEC">
      <w:pPr>
        <w:pStyle w:val="TDC2"/>
        <w:tabs>
          <w:tab w:val="left" w:pos="880"/>
        </w:tabs>
        <w:rPr>
          <w:rFonts w:asciiTheme="minorHAnsi" w:eastAsiaTheme="minorEastAsia" w:hAnsiTheme="minorHAnsi" w:cstheme="minorBidi"/>
          <w:i w:val="0"/>
          <w:sz w:val="22"/>
          <w:szCs w:val="22"/>
        </w:rPr>
      </w:pPr>
      <w:hyperlink w:anchor="_Toc106814601" w:history="1">
        <w:r w:rsidRPr="00667055">
          <w:rPr>
            <w:rStyle w:val="Hipervnculo"/>
            <w:iCs/>
          </w:rPr>
          <w:t xml:space="preserve">9.1 </w:t>
        </w:r>
        <w:r>
          <w:rPr>
            <w:rFonts w:asciiTheme="minorHAnsi" w:eastAsiaTheme="minorEastAsia" w:hAnsiTheme="minorHAnsi" w:cstheme="minorBidi"/>
            <w:i w:val="0"/>
            <w:sz w:val="22"/>
            <w:szCs w:val="22"/>
          </w:rPr>
          <w:tab/>
        </w:r>
        <w:r w:rsidRPr="00667055">
          <w:rPr>
            <w:rStyle w:val="Hipervnculo"/>
            <w:iCs/>
          </w:rPr>
          <w:t>Información sobre la relevancia de los instrumentos financieros en la situación financiera y los resultados de la empresa</w:t>
        </w:r>
      </w:hyperlink>
    </w:p>
    <w:p w14:paraId="1D815E18" w14:textId="28A78A52" w:rsidR="00E11EEC" w:rsidRDefault="00E11EEC">
      <w:pPr>
        <w:pStyle w:val="TDC2"/>
        <w:tabs>
          <w:tab w:val="left" w:pos="880"/>
        </w:tabs>
        <w:rPr>
          <w:rFonts w:asciiTheme="minorHAnsi" w:eastAsiaTheme="minorEastAsia" w:hAnsiTheme="minorHAnsi" w:cstheme="minorBidi"/>
          <w:i w:val="0"/>
          <w:sz w:val="22"/>
          <w:szCs w:val="22"/>
        </w:rPr>
      </w:pPr>
      <w:hyperlink w:anchor="_Toc106814602" w:history="1">
        <w:r w:rsidRPr="00667055">
          <w:rPr>
            <w:rStyle w:val="Hipervnculo"/>
            <w:iCs/>
          </w:rPr>
          <w:t xml:space="preserve">9.2 </w:t>
        </w:r>
        <w:r>
          <w:rPr>
            <w:rFonts w:asciiTheme="minorHAnsi" w:eastAsiaTheme="minorEastAsia" w:hAnsiTheme="minorHAnsi" w:cstheme="minorBidi"/>
            <w:i w:val="0"/>
            <w:sz w:val="22"/>
            <w:szCs w:val="22"/>
          </w:rPr>
          <w:tab/>
        </w:r>
        <w:r w:rsidRPr="00667055">
          <w:rPr>
            <w:rStyle w:val="Hipervnculo"/>
            <w:iCs/>
          </w:rPr>
          <w:t>Información relacionada con la cuenta de pérdidas y ganancias y el patrimonio neto</w:t>
        </w:r>
      </w:hyperlink>
    </w:p>
    <w:p w14:paraId="07038408" w14:textId="3DA188CB" w:rsidR="00E11EEC" w:rsidRDefault="00E11EEC">
      <w:pPr>
        <w:pStyle w:val="TDC2"/>
        <w:tabs>
          <w:tab w:val="left" w:pos="880"/>
        </w:tabs>
        <w:rPr>
          <w:rFonts w:asciiTheme="minorHAnsi" w:eastAsiaTheme="minorEastAsia" w:hAnsiTheme="minorHAnsi" w:cstheme="minorBidi"/>
          <w:i w:val="0"/>
          <w:sz w:val="22"/>
          <w:szCs w:val="22"/>
        </w:rPr>
      </w:pPr>
      <w:hyperlink w:anchor="_Toc106814603" w:history="1">
        <w:r w:rsidRPr="00667055">
          <w:rPr>
            <w:rStyle w:val="Hipervnculo"/>
            <w:iCs/>
          </w:rPr>
          <w:t xml:space="preserve">9.3 </w:t>
        </w:r>
        <w:r>
          <w:rPr>
            <w:rFonts w:asciiTheme="minorHAnsi" w:eastAsiaTheme="minorEastAsia" w:hAnsiTheme="minorHAnsi" w:cstheme="minorBidi"/>
            <w:i w:val="0"/>
            <w:sz w:val="22"/>
            <w:szCs w:val="22"/>
          </w:rPr>
          <w:tab/>
        </w:r>
        <w:r w:rsidRPr="00667055">
          <w:rPr>
            <w:rStyle w:val="Hipervnculo"/>
            <w:iCs/>
          </w:rPr>
          <w:t>Información sobre la naturaleza y el nivel de riesgo procedente de instrumentos financieros</w:t>
        </w:r>
      </w:hyperlink>
    </w:p>
    <w:p w14:paraId="2CECDB0F" w14:textId="04C234BE" w:rsidR="00E11EEC" w:rsidRDefault="00E11EEC">
      <w:pPr>
        <w:pStyle w:val="TDC2"/>
        <w:tabs>
          <w:tab w:val="left" w:pos="880"/>
        </w:tabs>
        <w:rPr>
          <w:rFonts w:asciiTheme="minorHAnsi" w:eastAsiaTheme="minorEastAsia" w:hAnsiTheme="minorHAnsi" w:cstheme="minorBidi"/>
          <w:i w:val="0"/>
          <w:sz w:val="22"/>
          <w:szCs w:val="22"/>
        </w:rPr>
      </w:pPr>
      <w:hyperlink w:anchor="_Toc106814604" w:history="1">
        <w:r w:rsidRPr="00667055">
          <w:rPr>
            <w:rStyle w:val="Hipervnculo"/>
            <w:iCs/>
          </w:rPr>
          <w:t xml:space="preserve">9.4 </w:t>
        </w:r>
        <w:r>
          <w:rPr>
            <w:rFonts w:asciiTheme="minorHAnsi" w:eastAsiaTheme="minorEastAsia" w:hAnsiTheme="minorHAnsi" w:cstheme="minorBidi"/>
            <w:i w:val="0"/>
            <w:sz w:val="22"/>
            <w:szCs w:val="22"/>
          </w:rPr>
          <w:tab/>
        </w:r>
        <w:r w:rsidRPr="00667055">
          <w:rPr>
            <w:rStyle w:val="Hipervnculo"/>
            <w:iCs/>
          </w:rPr>
          <w:t>Fondos propios</w:t>
        </w:r>
      </w:hyperlink>
    </w:p>
    <w:p w14:paraId="159C921D" w14:textId="007B7928" w:rsidR="00E11EEC" w:rsidRDefault="00E11EEC">
      <w:pPr>
        <w:pStyle w:val="TDC1"/>
        <w:tabs>
          <w:tab w:val="left" w:pos="660"/>
        </w:tabs>
        <w:rPr>
          <w:rFonts w:asciiTheme="minorHAnsi" w:eastAsiaTheme="minorEastAsia" w:hAnsiTheme="minorHAnsi" w:cstheme="minorBidi"/>
          <w:sz w:val="22"/>
        </w:rPr>
      </w:pPr>
      <w:hyperlink w:anchor="_Toc106814605" w:history="1">
        <w:r w:rsidRPr="00667055">
          <w:rPr>
            <w:rStyle w:val="Hipervnculo"/>
          </w:rPr>
          <w:t xml:space="preserve">10. </w:t>
        </w:r>
        <w:r>
          <w:rPr>
            <w:rFonts w:asciiTheme="minorHAnsi" w:eastAsiaTheme="minorEastAsia" w:hAnsiTheme="minorHAnsi" w:cstheme="minorBidi"/>
            <w:sz w:val="22"/>
          </w:rPr>
          <w:tab/>
        </w:r>
        <w:r w:rsidRPr="00667055">
          <w:rPr>
            <w:rStyle w:val="Hipervnculo"/>
          </w:rPr>
          <w:t>Existencias</w:t>
        </w:r>
      </w:hyperlink>
    </w:p>
    <w:p w14:paraId="329E16D6" w14:textId="06C75233" w:rsidR="00E11EEC" w:rsidRDefault="00E11EEC">
      <w:pPr>
        <w:pStyle w:val="TDC1"/>
        <w:tabs>
          <w:tab w:val="left" w:pos="660"/>
        </w:tabs>
        <w:rPr>
          <w:rFonts w:asciiTheme="minorHAnsi" w:eastAsiaTheme="minorEastAsia" w:hAnsiTheme="minorHAnsi" w:cstheme="minorBidi"/>
          <w:sz w:val="22"/>
        </w:rPr>
      </w:pPr>
      <w:hyperlink w:anchor="_Toc106814606" w:history="1">
        <w:r w:rsidRPr="00667055">
          <w:rPr>
            <w:rStyle w:val="Hipervnculo"/>
          </w:rPr>
          <w:t xml:space="preserve">11. </w:t>
        </w:r>
        <w:r>
          <w:rPr>
            <w:rFonts w:asciiTheme="minorHAnsi" w:eastAsiaTheme="minorEastAsia" w:hAnsiTheme="minorHAnsi" w:cstheme="minorBidi"/>
            <w:sz w:val="22"/>
          </w:rPr>
          <w:tab/>
        </w:r>
        <w:r w:rsidRPr="00667055">
          <w:rPr>
            <w:rStyle w:val="Hipervnculo"/>
          </w:rPr>
          <w:t>Moneda extranjera</w:t>
        </w:r>
      </w:hyperlink>
    </w:p>
    <w:p w14:paraId="75DEE156" w14:textId="1C32FD01" w:rsidR="00E11EEC" w:rsidRDefault="00E11EEC">
      <w:pPr>
        <w:pStyle w:val="TDC1"/>
        <w:tabs>
          <w:tab w:val="left" w:pos="660"/>
        </w:tabs>
        <w:rPr>
          <w:rFonts w:asciiTheme="minorHAnsi" w:eastAsiaTheme="minorEastAsia" w:hAnsiTheme="minorHAnsi" w:cstheme="minorBidi"/>
          <w:sz w:val="22"/>
        </w:rPr>
      </w:pPr>
      <w:hyperlink w:anchor="_Toc106814607" w:history="1">
        <w:r w:rsidRPr="00667055">
          <w:rPr>
            <w:rStyle w:val="Hipervnculo"/>
          </w:rPr>
          <w:t xml:space="preserve">12. </w:t>
        </w:r>
        <w:r>
          <w:rPr>
            <w:rFonts w:asciiTheme="minorHAnsi" w:eastAsiaTheme="minorEastAsia" w:hAnsiTheme="minorHAnsi" w:cstheme="minorBidi"/>
            <w:sz w:val="22"/>
          </w:rPr>
          <w:tab/>
        </w:r>
        <w:r w:rsidRPr="00667055">
          <w:rPr>
            <w:rStyle w:val="Hipervnculo"/>
          </w:rPr>
          <w:t>Situación fiscal</w:t>
        </w:r>
      </w:hyperlink>
    </w:p>
    <w:p w14:paraId="02779908" w14:textId="62375B57" w:rsidR="00E11EEC" w:rsidRDefault="00E11EEC">
      <w:pPr>
        <w:pStyle w:val="TDC2"/>
        <w:tabs>
          <w:tab w:val="left" w:pos="880"/>
        </w:tabs>
        <w:rPr>
          <w:rFonts w:asciiTheme="minorHAnsi" w:eastAsiaTheme="minorEastAsia" w:hAnsiTheme="minorHAnsi" w:cstheme="minorBidi"/>
          <w:i w:val="0"/>
          <w:sz w:val="22"/>
          <w:szCs w:val="22"/>
        </w:rPr>
      </w:pPr>
      <w:hyperlink w:anchor="_Toc106814608" w:history="1">
        <w:r w:rsidRPr="00667055">
          <w:rPr>
            <w:rStyle w:val="Hipervnculo"/>
            <w:iCs/>
          </w:rPr>
          <w:t xml:space="preserve">12.1 </w:t>
        </w:r>
        <w:r>
          <w:rPr>
            <w:rFonts w:asciiTheme="minorHAnsi" w:eastAsiaTheme="minorEastAsia" w:hAnsiTheme="minorHAnsi" w:cstheme="minorBidi"/>
            <w:i w:val="0"/>
            <w:sz w:val="22"/>
            <w:szCs w:val="22"/>
          </w:rPr>
          <w:tab/>
        </w:r>
        <w:r w:rsidRPr="00667055">
          <w:rPr>
            <w:rStyle w:val="Hipervnculo"/>
            <w:iCs/>
          </w:rPr>
          <w:t>Impuestos sobre beneficios</w:t>
        </w:r>
      </w:hyperlink>
    </w:p>
    <w:p w14:paraId="413673E4" w14:textId="304F1DE0" w:rsidR="00E11EEC" w:rsidRDefault="00E11EEC">
      <w:pPr>
        <w:pStyle w:val="TDC2"/>
        <w:tabs>
          <w:tab w:val="left" w:pos="880"/>
        </w:tabs>
        <w:rPr>
          <w:rFonts w:asciiTheme="minorHAnsi" w:eastAsiaTheme="minorEastAsia" w:hAnsiTheme="minorHAnsi" w:cstheme="minorBidi"/>
          <w:i w:val="0"/>
          <w:sz w:val="22"/>
          <w:szCs w:val="22"/>
        </w:rPr>
      </w:pPr>
      <w:hyperlink w:anchor="_Toc106814609" w:history="1">
        <w:r w:rsidRPr="00667055">
          <w:rPr>
            <w:rStyle w:val="Hipervnculo"/>
            <w:iCs/>
          </w:rPr>
          <w:t>12.2</w:t>
        </w:r>
        <w:r>
          <w:rPr>
            <w:rFonts w:asciiTheme="minorHAnsi" w:eastAsiaTheme="minorEastAsia" w:hAnsiTheme="minorHAnsi" w:cstheme="minorBidi"/>
            <w:i w:val="0"/>
            <w:sz w:val="22"/>
            <w:szCs w:val="22"/>
          </w:rPr>
          <w:tab/>
        </w:r>
        <w:r w:rsidRPr="00667055">
          <w:rPr>
            <w:rStyle w:val="Hipervnculo"/>
            <w:iCs/>
          </w:rPr>
          <w:t>Saldos con administraciones públicas</w:t>
        </w:r>
      </w:hyperlink>
    </w:p>
    <w:p w14:paraId="6108BD35" w14:textId="5530239F" w:rsidR="00E11EEC" w:rsidRDefault="00E11EEC">
      <w:pPr>
        <w:pStyle w:val="TDC1"/>
        <w:tabs>
          <w:tab w:val="left" w:pos="660"/>
        </w:tabs>
        <w:rPr>
          <w:rFonts w:asciiTheme="minorHAnsi" w:eastAsiaTheme="minorEastAsia" w:hAnsiTheme="minorHAnsi" w:cstheme="minorBidi"/>
          <w:sz w:val="22"/>
        </w:rPr>
      </w:pPr>
      <w:hyperlink w:anchor="_Toc106814610" w:history="1">
        <w:r w:rsidRPr="00667055">
          <w:rPr>
            <w:rStyle w:val="Hipervnculo"/>
          </w:rPr>
          <w:t xml:space="preserve">13. </w:t>
        </w:r>
        <w:r>
          <w:rPr>
            <w:rFonts w:asciiTheme="minorHAnsi" w:eastAsiaTheme="minorEastAsia" w:hAnsiTheme="minorHAnsi" w:cstheme="minorBidi"/>
            <w:sz w:val="22"/>
          </w:rPr>
          <w:tab/>
        </w:r>
        <w:r w:rsidRPr="00667055">
          <w:rPr>
            <w:rStyle w:val="Hipervnculo"/>
          </w:rPr>
          <w:t>Ingresos y Gastos</w:t>
        </w:r>
      </w:hyperlink>
    </w:p>
    <w:p w14:paraId="274F80C2" w14:textId="7695ADC6" w:rsidR="00E11EEC" w:rsidRDefault="00E11EEC">
      <w:pPr>
        <w:pStyle w:val="TDC1"/>
        <w:tabs>
          <w:tab w:val="left" w:pos="660"/>
        </w:tabs>
        <w:rPr>
          <w:rFonts w:asciiTheme="minorHAnsi" w:eastAsiaTheme="minorEastAsia" w:hAnsiTheme="minorHAnsi" w:cstheme="minorBidi"/>
          <w:sz w:val="22"/>
        </w:rPr>
      </w:pPr>
      <w:hyperlink w:anchor="_Toc106814611" w:history="1">
        <w:r w:rsidRPr="00667055">
          <w:rPr>
            <w:rStyle w:val="Hipervnculo"/>
          </w:rPr>
          <w:t xml:space="preserve">14. </w:t>
        </w:r>
        <w:r>
          <w:rPr>
            <w:rFonts w:asciiTheme="minorHAnsi" w:eastAsiaTheme="minorEastAsia" w:hAnsiTheme="minorHAnsi" w:cstheme="minorBidi"/>
            <w:sz w:val="22"/>
          </w:rPr>
          <w:tab/>
        </w:r>
        <w:r w:rsidRPr="00667055">
          <w:rPr>
            <w:rStyle w:val="Hipervnculo"/>
          </w:rPr>
          <w:t>Provisiones y contingencias</w:t>
        </w:r>
      </w:hyperlink>
    </w:p>
    <w:p w14:paraId="300B5889" w14:textId="7BE2B758" w:rsidR="00E11EEC" w:rsidRDefault="00E11EEC">
      <w:pPr>
        <w:pStyle w:val="TDC1"/>
        <w:tabs>
          <w:tab w:val="left" w:pos="660"/>
        </w:tabs>
        <w:rPr>
          <w:rFonts w:asciiTheme="minorHAnsi" w:eastAsiaTheme="minorEastAsia" w:hAnsiTheme="minorHAnsi" w:cstheme="minorBidi"/>
          <w:sz w:val="22"/>
        </w:rPr>
      </w:pPr>
      <w:hyperlink w:anchor="_Toc106814612" w:history="1">
        <w:r w:rsidRPr="00667055">
          <w:rPr>
            <w:rStyle w:val="Hipervnculo"/>
          </w:rPr>
          <w:t xml:space="preserve">15. </w:t>
        </w:r>
        <w:r>
          <w:rPr>
            <w:rFonts w:asciiTheme="minorHAnsi" w:eastAsiaTheme="minorEastAsia" w:hAnsiTheme="minorHAnsi" w:cstheme="minorBidi"/>
            <w:sz w:val="22"/>
          </w:rPr>
          <w:tab/>
        </w:r>
        <w:r w:rsidRPr="00667055">
          <w:rPr>
            <w:rStyle w:val="Hipervnculo"/>
          </w:rPr>
          <w:t>Información sobre medio ambiente</w:t>
        </w:r>
      </w:hyperlink>
    </w:p>
    <w:p w14:paraId="3E50533D" w14:textId="0307C903" w:rsidR="00E11EEC" w:rsidRDefault="00E11EEC">
      <w:pPr>
        <w:pStyle w:val="TDC1"/>
        <w:tabs>
          <w:tab w:val="left" w:pos="660"/>
        </w:tabs>
        <w:rPr>
          <w:rFonts w:asciiTheme="minorHAnsi" w:eastAsiaTheme="minorEastAsia" w:hAnsiTheme="minorHAnsi" w:cstheme="minorBidi"/>
          <w:sz w:val="22"/>
        </w:rPr>
      </w:pPr>
      <w:hyperlink w:anchor="_Toc106814613" w:history="1">
        <w:r w:rsidRPr="00667055">
          <w:rPr>
            <w:rStyle w:val="Hipervnculo"/>
          </w:rPr>
          <w:t xml:space="preserve">16. </w:t>
        </w:r>
        <w:r>
          <w:rPr>
            <w:rFonts w:asciiTheme="minorHAnsi" w:eastAsiaTheme="minorEastAsia" w:hAnsiTheme="minorHAnsi" w:cstheme="minorBidi"/>
            <w:sz w:val="22"/>
          </w:rPr>
          <w:tab/>
        </w:r>
        <w:r w:rsidRPr="00667055">
          <w:rPr>
            <w:rStyle w:val="Hipervnculo"/>
          </w:rPr>
          <w:t>Retribuciones a largo plazo al personal</w:t>
        </w:r>
      </w:hyperlink>
    </w:p>
    <w:p w14:paraId="2A963257" w14:textId="7AA1C4C0" w:rsidR="00E11EEC" w:rsidRDefault="00E11EEC">
      <w:pPr>
        <w:pStyle w:val="TDC1"/>
        <w:tabs>
          <w:tab w:val="left" w:pos="660"/>
        </w:tabs>
        <w:rPr>
          <w:rFonts w:asciiTheme="minorHAnsi" w:eastAsiaTheme="minorEastAsia" w:hAnsiTheme="minorHAnsi" w:cstheme="minorBidi"/>
          <w:sz w:val="22"/>
        </w:rPr>
      </w:pPr>
      <w:hyperlink w:anchor="_Toc106814614" w:history="1">
        <w:r w:rsidRPr="00667055">
          <w:rPr>
            <w:rStyle w:val="Hipervnculo"/>
          </w:rPr>
          <w:t xml:space="preserve">17. </w:t>
        </w:r>
        <w:r>
          <w:rPr>
            <w:rFonts w:asciiTheme="minorHAnsi" w:eastAsiaTheme="minorEastAsia" w:hAnsiTheme="minorHAnsi" w:cstheme="minorBidi"/>
            <w:sz w:val="22"/>
          </w:rPr>
          <w:tab/>
        </w:r>
        <w:r w:rsidRPr="00667055">
          <w:rPr>
            <w:rStyle w:val="Hipervnculo"/>
          </w:rPr>
          <w:t>Transacciones con pagos basados en instrumentos de patrimonio</w:t>
        </w:r>
      </w:hyperlink>
    </w:p>
    <w:p w14:paraId="5F15EBA6" w14:textId="1FF3D026" w:rsidR="00E11EEC" w:rsidRDefault="00E11EEC">
      <w:pPr>
        <w:pStyle w:val="TDC1"/>
        <w:tabs>
          <w:tab w:val="left" w:pos="660"/>
        </w:tabs>
        <w:rPr>
          <w:rFonts w:asciiTheme="minorHAnsi" w:eastAsiaTheme="minorEastAsia" w:hAnsiTheme="minorHAnsi" w:cstheme="minorBidi"/>
          <w:sz w:val="22"/>
        </w:rPr>
      </w:pPr>
      <w:hyperlink w:anchor="_Toc106814615" w:history="1">
        <w:r w:rsidRPr="00667055">
          <w:rPr>
            <w:rStyle w:val="Hipervnculo"/>
          </w:rPr>
          <w:t xml:space="preserve">18. </w:t>
        </w:r>
        <w:r>
          <w:rPr>
            <w:rFonts w:asciiTheme="minorHAnsi" w:eastAsiaTheme="minorEastAsia" w:hAnsiTheme="minorHAnsi" w:cstheme="minorBidi"/>
            <w:sz w:val="22"/>
          </w:rPr>
          <w:tab/>
        </w:r>
        <w:r w:rsidRPr="00667055">
          <w:rPr>
            <w:rStyle w:val="Hipervnculo"/>
          </w:rPr>
          <w:t>Subvenciones, donaciones y legados</w:t>
        </w:r>
      </w:hyperlink>
    </w:p>
    <w:p w14:paraId="66FE3A69" w14:textId="73A5B29C" w:rsidR="00E11EEC" w:rsidRDefault="00E11EEC">
      <w:pPr>
        <w:pStyle w:val="TDC1"/>
        <w:tabs>
          <w:tab w:val="left" w:pos="660"/>
        </w:tabs>
        <w:rPr>
          <w:rFonts w:asciiTheme="minorHAnsi" w:eastAsiaTheme="minorEastAsia" w:hAnsiTheme="minorHAnsi" w:cstheme="minorBidi"/>
          <w:sz w:val="22"/>
        </w:rPr>
      </w:pPr>
      <w:hyperlink w:anchor="_Toc106814616" w:history="1">
        <w:r w:rsidRPr="00667055">
          <w:rPr>
            <w:rStyle w:val="Hipervnculo"/>
          </w:rPr>
          <w:t xml:space="preserve">19. </w:t>
        </w:r>
        <w:r>
          <w:rPr>
            <w:rFonts w:asciiTheme="minorHAnsi" w:eastAsiaTheme="minorEastAsia" w:hAnsiTheme="minorHAnsi" w:cstheme="minorBidi"/>
            <w:sz w:val="22"/>
          </w:rPr>
          <w:tab/>
        </w:r>
        <w:r w:rsidRPr="00667055">
          <w:rPr>
            <w:rStyle w:val="Hipervnculo"/>
          </w:rPr>
          <w:t>Combinaciones de negocios</w:t>
        </w:r>
      </w:hyperlink>
    </w:p>
    <w:p w14:paraId="4213B8B1" w14:textId="4A4B0606" w:rsidR="00E11EEC" w:rsidRDefault="00E11EEC">
      <w:pPr>
        <w:pStyle w:val="TDC1"/>
        <w:tabs>
          <w:tab w:val="left" w:pos="660"/>
        </w:tabs>
        <w:rPr>
          <w:rFonts w:asciiTheme="minorHAnsi" w:eastAsiaTheme="minorEastAsia" w:hAnsiTheme="minorHAnsi" w:cstheme="minorBidi"/>
          <w:sz w:val="22"/>
        </w:rPr>
      </w:pPr>
      <w:hyperlink w:anchor="_Toc106814617" w:history="1">
        <w:r w:rsidRPr="00667055">
          <w:rPr>
            <w:rStyle w:val="Hipervnculo"/>
          </w:rPr>
          <w:t xml:space="preserve">20. </w:t>
        </w:r>
        <w:r>
          <w:rPr>
            <w:rFonts w:asciiTheme="minorHAnsi" w:eastAsiaTheme="minorEastAsia" w:hAnsiTheme="minorHAnsi" w:cstheme="minorBidi"/>
            <w:sz w:val="22"/>
          </w:rPr>
          <w:tab/>
        </w:r>
        <w:r w:rsidRPr="00667055">
          <w:rPr>
            <w:rStyle w:val="Hipervnculo"/>
          </w:rPr>
          <w:t>Negocios conjuntos</w:t>
        </w:r>
      </w:hyperlink>
    </w:p>
    <w:p w14:paraId="09A14362" w14:textId="2E128E45" w:rsidR="00E11EEC" w:rsidRDefault="00E11EEC">
      <w:pPr>
        <w:pStyle w:val="TDC1"/>
        <w:tabs>
          <w:tab w:val="left" w:pos="660"/>
        </w:tabs>
        <w:rPr>
          <w:rFonts w:asciiTheme="minorHAnsi" w:eastAsiaTheme="minorEastAsia" w:hAnsiTheme="minorHAnsi" w:cstheme="minorBidi"/>
          <w:sz w:val="22"/>
        </w:rPr>
      </w:pPr>
      <w:hyperlink w:anchor="_Toc106814618" w:history="1">
        <w:r w:rsidRPr="00667055">
          <w:rPr>
            <w:rStyle w:val="Hipervnculo"/>
          </w:rPr>
          <w:t xml:space="preserve">21. </w:t>
        </w:r>
        <w:r>
          <w:rPr>
            <w:rFonts w:asciiTheme="minorHAnsi" w:eastAsiaTheme="minorEastAsia" w:hAnsiTheme="minorHAnsi" w:cstheme="minorBidi"/>
            <w:sz w:val="22"/>
          </w:rPr>
          <w:tab/>
        </w:r>
        <w:r w:rsidRPr="00667055">
          <w:rPr>
            <w:rStyle w:val="Hipervnculo"/>
          </w:rPr>
          <w:t>Activos no corrientes mantenidos para la venta y operaciones interrumpidas</w:t>
        </w:r>
      </w:hyperlink>
    </w:p>
    <w:p w14:paraId="0AA2BB5B" w14:textId="355FE13D" w:rsidR="00E11EEC" w:rsidRDefault="00E11EEC">
      <w:pPr>
        <w:pStyle w:val="TDC1"/>
        <w:tabs>
          <w:tab w:val="left" w:pos="660"/>
        </w:tabs>
        <w:rPr>
          <w:rFonts w:asciiTheme="minorHAnsi" w:eastAsiaTheme="minorEastAsia" w:hAnsiTheme="minorHAnsi" w:cstheme="minorBidi"/>
          <w:sz w:val="22"/>
        </w:rPr>
      </w:pPr>
      <w:hyperlink w:anchor="_Toc106814619" w:history="1">
        <w:r w:rsidRPr="00667055">
          <w:rPr>
            <w:rStyle w:val="Hipervnculo"/>
          </w:rPr>
          <w:t xml:space="preserve">22. </w:t>
        </w:r>
        <w:r>
          <w:rPr>
            <w:rFonts w:asciiTheme="minorHAnsi" w:eastAsiaTheme="minorEastAsia" w:hAnsiTheme="minorHAnsi" w:cstheme="minorBidi"/>
            <w:sz w:val="22"/>
          </w:rPr>
          <w:tab/>
        </w:r>
        <w:r w:rsidRPr="00667055">
          <w:rPr>
            <w:rStyle w:val="Hipervnculo"/>
          </w:rPr>
          <w:t>Hechos posteriores al cierre</w:t>
        </w:r>
      </w:hyperlink>
    </w:p>
    <w:p w14:paraId="1FFA40BE" w14:textId="4498F264" w:rsidR="00E11EEC" w:rsidRDefault="00E11EEC">
      <w:pPr>
        <w:pStyle w:val="TDC1"/>
        <w:tabs>
          <w:tab w:val="left" w:pos="660"/>
        </w:tabs>
        <w:rPr>
          <w:rFonts w:asciiTheme="minorHAnsi" w:eastAsiaTheme="minorEastAsia" w:hAnsiTheme="minorHAnsi" w:cstheme="minorBidi"/>
          <w:sz w:val="22"/>
        </w:rPr>
      </w:pPr>
      <w:hyperlink w:anchor="_Toc106814620" w:history="1">
        <w:r w:rsidRPr="00667055">
          <w:rPr>
            <w:rStyle w:val="Hipervnculo"/>
          </w:rPr>
          <w:t xml:space="preserve">24. </w:t>
        </w:r>
        <w:r>
          <w:rPr>
            <w:rFonts w:asciiTheme="minorHAnsi" w:eastAsiaTheme="minorEastAsia" w:hAnsiTheme="minorHAnsi" w:cstheme="minorBidi"/>
            <w:sz w:val="22"/>
          </w:rPr>
          <w:tab/>
        </w:r>
        <w:r w:rsidRPr="00667055">
          <w:rPr>
            <w:rStyle w:val="Hipervnculo"/>
          </w:rPr>
          <w:t>Otra información</w:t>
        </w:r>
      </w:hyperlink>
    </w:p>
    <w:p w14:paraId="5E9272B7" w14:textId="6901F6D2" w:rsidR="00E11EEC" w:rsidRDefault="00E11EEC">
      <w:pPr>
        <w:pStyle w:val="TDC1"/>
        <w:tabs>
          <w:tab w:val="left" w:pos="660"/>
        </w:tabs>
        <w:rPr>
          <w:rFonts w:asciiTheme="minorHAnsi" w:eastAsiaTheme="minorEastAsia" w:hAnsiTheme="minorHAnsi" w:cstheme="minorBidi"/>
          <w:sz w:val="22"/>
        </w:rPr>
      </w:pPr>
      <w:hyperlink w:anchor="_Toc106814621" w:history="1">
        <w:r w:rsidRPr="00667055">
          <w:rPr>
            <w:rStyle w:val="Hipervnculo"/>
          </w:rPr>
          <w:t xml:space="preserve">25. </w:t>
        </w:r>
        <w:r>
          <w:rPr>
            <w:rFonts w:asciiTheme="minorHAnsi" w:eastAsiaTheme="minorEastAsia" w:hAnsiTheme="minorHAnsi" w:cstheme="minorBidi"/>
            <w:sz w:val="22"/>
          </w:rPr>
          <w:tab/>
        </w:r>
        <w:r w:rsidRPr="00667055">
          <w:rPr>
            <w:rStyle w:val="Hipervnculo"/>
          </w:rPr>
          <w:t>Información segmentada</w:t>
        </w:r>
      </w:hyperlink>
    </w:p>
    <w:p w14:paraId="3347D170" w14:textId="7EB345D2" w:rsidR="00E11EEC" w:rsidRDefault="00E11EEC">
      <w:pPr>
        <w:pStyle w:val="TDC1"/>
        <w:tabs>
          <w:tab w:val="left" w:pos="660"/>
        </w:tabs>
        <w:rPr>
          <w:rFonts w:asciiTheme="minorHAnsi" w:eastAsiaTheme="minorEastAsia" w:hAnsiTheme="minorHAnsi" w:cstheme="minorBidi"/>
          <w:sz w:val="22"/>
        </w:rPr>
      </w:pPr>
      <w:hyperlink w:anchor="_Toc106814622" w:history="1">
        <w:r w:rsidRPr="00667055">
          <w:rPr>
            <w:rStyle w:val="Hipervnculo"/>
          </w:rPr>
          <w:t xml:space="preserve">26. </w:t>
        </w:r>
        <w:r>
          <w:rPr>
            <w:rFonts w:asciiTheme="minorHAnsi" w:eastAsiaTheme="minorEastAsia" w:hAnsiTheme="minorHAnsi" w:cstheme="minorBidi"/>
            <w:sz w:val="22"/>
          </w:rPr>
          <w:tab/>
        </w:r>
        <w:r w:rsidRPr="00667055">
          <w:rPr>
            <w:rStyle w:val="Hipervnculo"/>
          </w:rPr>
          <w:t>Información sobre derechos de emisión de gases de efecto invernadero.</w:t>
        </w:r>
      </w:hyperlink>
    </w:p>
    <w:p w14:paraId="653A924C" w14:textId="60E0F9F0" w:rsidR="00E11EEC" w:rsidRDefault="00E11EEC">
      <w:pPr>
        <w:pStyle w:val="TDC1"/>
        <w:tabs>
          <w:tab w:val="left" w:pos="660"/>
        </w:tabs>
        <w:rPr>
          <w:rFonts w:asciiTheme="minorHAnsi" w:eastAsiaTheme="minorEastAsia" w:hAnsiTheme="minorHAnsi" w:cstheme="minorBidi"/>
          <w:sz w:val="22"/>
        </w:rPr>
      </w:pPr>
      <w:hyperlink w:anchor="_Toc106814623" w:history="1">
        <w:r w:rsidRPr="00667055">
          <w:rPr>
            <w:rStyle w:val="Hipervnculo"/>
          </w:rPr>
          <w:t xml:space="preserve">27. </w:t>
        </w:r>
        <w:r>
          <w:rPr>
            <w:rFonts w:asciiTheme="minorHAnsi" w:eastAsiaTheme="minorEastAsia" w:hAnsiTheme="minorHAnsi" w:cstheme="minorBidi"/>
            <w:sz w:val="22"/>
          </w:rPr>
          <w:tab/>
        </w:r>
        <w:r w:rsidRPr="00667055">
          <w:rPr>
            <w:rStyle w:val="Hipervnculo"/>
          </w:rPr>
          <w:t>Información sobre los períodos medios de pago a proveedores. Disposición adicional tercera. “Deber de información” de la Ley 15/2010, de 5 de julio.</w:t>
        </w:r>
      </w:hyperlink>
    </w:p>
    <w:p w14:paraId="222912EC" w14:textId="409CF2C8" w:rsidR="00853FBE" w:rsidRDefault="00D5722F" w:rsidP="004B61ED">
      <w:pPr>
        <w:autoSpaceDE w:val="0"/>
        <w:autoSpaceDN w:val="0"/>
        <w:adjustRightInd w:val="0"/>
        <w:spacing w:beforeLines="20" w:before="48" w:after="0"/>
        <w:jc w:val="both"/>
        <w:rPr>
          <w:rFonts w:cs="Arial"/>
          <w:color w:val="000000"/>
          <w:szCs w:val="32"/>
        </w:rPr>
      </w:pPr>
      <w:r>
        <w:rPr>
          <w:rFonts w:cs="Arial"/>
          <w:color w:val="000000"/>
          <w:sz w:val="20"/>
          <w:szCs w:val="20"/>
        </w:rPr>
        <w:fldChar w:fldCharType="end"/>
      </w:r>
      <w:r w:rsidR="00853FBE">
        <w:rPr>
          <w:rFonts w:cs="Arial"/>
          <w:b/>
          <w:sz w:val="22"/>
          <w:szCs w:val="22"/>
        </w:rPr>
        <w:br w:type="page"/>
      </w:r>
    </w:p>
    <w:p w14:paraId="1CC7B942" w14:textId="77777777" w:rsidR="00853FBE" w:rsidRDefault="00853FBE" w:rsidP="00853FBE">
      <w:pPr>
        <w:jc w:val="center"/>
        <w:rPr>
          <w:rFonts w:cs="Arial"/>
          <w:b/>
          <w:sz w:val="22"/>
          <w:szCs w:val="22"/>
          <w:lang w:val="fr-FR"/>
        </w:rPr>
      </w:pPr>
      <w:r>
        <w:rPr>
          <w:rFonts w:cs="Arial"/>
          <w:b/>
          <w:sz w:val="22"/>
          <w:szCs w:val="22"/>
          <w:lang w:val="fr-FR"/>
        </w:rPr>
        <w:lastRenderedPageBreak/>
        <w:t>ALTALAY 7 SA</w:t>
      </w:r>
    </w:p>
    <w:p w14:paraId="351AE46E" w14:textId="0023E5AA" w:rsidR="00853FBE" w:rsidRDefault="00853FBE" w:rsidP="00853FBE">
      <w:pPr>
        <w:jc w:val="center"/>
        <w:rPr>
          <w:rFonts w:cs="Arial"/>
          <w:b/>
          <w:sz w:val="22"/>
          <w:szCs w:val="22"/>
        </w:rPr>
      </w:pPr>
      <w:r>
        <w:rPr>
          <w:rFonts w:cs="Arial"/>
          <w:b/>
          <w:sz w:val="22"/>
          <w:szCs w:val="22"/>
        </w:rPr>
        <w:t xml:space="preserve">Memoria Normal del Ejercicio Anual terminado el 31 de </w:t>
      </w:r>
      <w:r w:rsidR="000A2E83">
        <w:rPr>
          <w:rFonts w:cs="Arial"/>
          <w:b/>
          <w:sz w:val="22"/>
          <w:szCs w:val="22"/>
        </w:rPr>
        <w:t>diciembre</w:t>
      </w:r>
      <w:r>
        <w:rPr>
          <w:rFonts w:cs="Arial"/>
          <w:b/>
          <w:sz w:val="22"/>
          <w:szCs w:val="22"/>
        </w:rPr>
        <w:t xml:space="preserve"> de </w:t>
      </w:r>
      <w:r w:rsidR="000253BC">
        <w:rPr>
          <w:rFonts w:cs="Arial"/>
          <w:b/>
          <w:sz w:val="22"/>
          <w:szCs w:val="22"/>
        </w:rPr>
        <w:t>2021</w:t>
      </w:r>
      <w:r>
        <w:rPr>
          <w:rFonts w:cs="Arial"/>
          <w:b/>
          <w:sz w:val="22"/>
          <w:szCs w:val="22"/>
        </w:rPr>
        <w:t>.</w:t>
      </w:r>
    </w:p>
    <w:p w14:paraId="63BA266D" w14:textId="77777777" w:rsidR="00853FBE" w:rsidRDefault="00853FBE" w:rsidP="00853FBE">
      <w:pPr>
        <w:jc w:val="center"/>
        <w:rPr>
          <w:rFonts w:cs="Arial"/>
          <w:b/>
          <w:bCs/>
          <w:sz w:val="22"/>
          <w:szCs w:val="22"/>
        </w:rPr>
      </w:pPr>
    </w:p>
    <w:p w14:paraId="776114F6" w14:textId="77777777" w:rsidR="00853FBE" w:rsidRDefault="00853FBE" w:rsidP="00853FBE">
      <w:pPr>
        <w:jc w:val="center"/>
        <w:rPr>
          <w:rFonts w:cs="Arial"/>
          <w:b/>
          <w:bCs/>
          <w:sz w:val="22"/>
          <w:szCs w:val="22"/>
        </w:rPr>
      </w:pPr>
    </w:p>
    <w:p w14:paraId="626E1AC0" w14:textId="77777777" w:rsidR="00853FBE" w:rsidRDefault="00853FBE" w:rsidP="00853FBE">
      <w:pPr>
        <w:pStyle w:val="Ttulo1"/>
        <w:tabs>
          <w:tab w:val="left" w:pos="567"/>
        </w:tabs>
        <w:spacing w:before="360" w:after="120"/>
        <w:jc w:val="both"/>
        <w:rPr>
          <w:sz w:val="22"/>
          <w:szCs w:val="22"/>
        </w:rPr>
      </w:pPr>
      <w:bookmarkStart w:id="0" w:name="_Toc106814562"/>
      <w:r>
        <w:rPr>
          <w:sz w:val="22"/>
          <w:szCs w:val="22"/>
        </w:rPr>
        <w:t xml:space="preserve">1. </w:t>
      </w:r>
      <w:r>
        <w:rPr>
          <w:sz w:val="22"/>
          <w:szCs w:val="22"/>
        </w:rPr>
        <w:tab/>
        <w:t>Actividad de la empresa</w:t>
      </w:r>
      <w:bookmarkEnd w:id="0"/>
    </w:p>
    <w:p w14:paraId="30941B3B" w14:textId="1DCDD411" w:rsidR="006731A6" w:rsidRDefault="00853FBE" w:rsidP="00853FBE">
      <w:pPr>
        <w:pStyle w:val="Textoindependiente"/>
        <w:ind w:firstLine="550"/>
        <w:rPr>
          <w:sz w:val="22"/>
          <w:szCs w:val="22"/>
        </w:rPr>
      </w:pPr>
      <w:r>
        <w:rPr>
          <w:sz w:val="22"/>
          <w:szCs w:val="22"/>
        </w:rPr>
        <w:t xml:space="preserve">ALTALAY 7 SA (en adelante la Sociedad) </w:t>
      </w:r>
      <w:r w:rsidRPr="007D5D41">
        <w:rPr>
          <w:sz w:val="22"/>
          <w:szCs w:val="22"/>
        </w:rPr>
        <w:t xml:space="preserve">se constituyó como sociedad anónima el día 22 de </w:t>
      </w:r>
      <w:r w:rsidR="000253BC" w:rsidRPr="007D5D41">
        <w:rPr>
          <w:sz w:val="22"/>
          <w:szCs w:val="22"/>
        </w:rPr>
        <w:t>octubre</w:t>
      </w:r>
      <w:r w:rsidRPr="007D5D41">
        <w:rPr>
          <w:sz w:val="22"/>
          <w:szCs w:val="22"/>
        </w:rPr>
        <w:t xml:space="preserve"> de 1.996, ante el Notario de Madrid, Don José Villaescusa Sanz, bajo el número 6.851 de su protocolo. La sociedad tiene como actividad principal la prestación de servicios de hostelería, la adquisición, promoción, enajenación, gestión urbanística, explotación, arrendamiento y administración de bienes inmuebles, y la adquisición, tenencia, administración y enajenación de toda clase de valores por cuenta propia tal y como aparece recogido en el enunciado de su objeto social. Sus principales instalaciones están ubicadas en Tenerife, siendo su domicilio social Avenida Colón, número 4, en Puerto de la Cruz.</w:t>
      </w:r>
      <w:r w:rsidR="006731A6">
        <w:rPr>
          <w:sz w:val="22"/>
          <w:szCs w:val="22"/>
        </w:rPr>
        <w:t xml:space="preserve"> </w:t>
      </w:r>
    </w:p>
    <w:p w14:paraId="10E380EC" w14:textId="6456E922" w:rsidR="006731A6" w:rsidRPr="006731A6" w:rsidRDefault="006731A6" w:rsidP="006731A6">
      <w:pPr>
        <w:pStyle w:val="Textoindependiente"/>
        <w:ind w:firstLine="550"/>
        <w:rPr>
          <w:sz w:val="22"/>
          <w:szCs w:val="22"/>
        </w:rPr>
      </w:pPr>
      <w:r w:rsidRPr="006731A6">
        <w:rPr>
          <w:sz w:val="22"/>
          <w:szCs w:val="22"/>
        </w:rPr>
        <w:t>Está inscrita en el Registro Mercantil de SANTA CRUZ DE TENERIFE 2, Tomo 1415, Folio 61, Hoja TF3982</w:t>
      </w:r>
      <w:r>
        <w:rPr>
          <w:sz w:val="22"/>
          <w:szCs w:val="22"/>
        </w:rPr>
        <w:t>, y o</w:t>
      </w:r>
      <w:r w:rsidRPr="006731A6">
        <w:rPr>
          <w:sz w:val="22"/>
          <w:szCs w:val="22"/>
        </w:rPr>
        <w:t>pera con el Número de Identificación Fiscal A38434411.</w:t>
      </w:r>
    </w:p>
    <w:p w14:paraId="1FFC0E75" w14:textId="753AA1C1" w:rsidR="00853FBE" w:rsidRPr="009D3778" w:rsidRDefault="00853FBE" w:rsidP="006731A6">
      <w:pPr>
        <w:pStyle w:val="Textoindependiente"/>
        <w:ind w:firstLine="550"/>
        <w:rPr>
          <w:sz w:val="22"/>
          <w:szCs w:val="22"/>
        </w:rPr>
      </w:pPr>
      <w:r w:rsidRPr="009D3778">
        <w:rPr>
          <w:sz w:val="22"/>
          <w:szCs w:val="22"/>
        </w:rPr>
        <w:t>Se le aplica la Ley de Sociedades d</w:t>
      </w:r>
      <w:r>
        <w:rPr>
          <w:sz w:val="22"/>
          <w:szCs w:val="22"/>
        </w:rPr>
        <w:t xml:space="preserve">e Capital </w:t>
      </w:r>
      <w:r w:rsidRPr="00621CCC">
        <w:rPr>
          <w:sz w:val="22"/>
          <w:szCs w:val="22"/>
        </w:rPr>
        <w:t>(vigente desde el 1 de septiembre de 2010)</w:t>
      </w:r>
      <w:r w:rsidRPr="009D3778">
        <w:rPr>
          <w:sz w:val="22"/>
          <w:szCs w:val="22"/>
        </w:rPr>
        <w:t xml:space="preserve">, cuyo texto refundido se aprobó por Real Decreto Legislativo 1/2010, de 2 de julio, Código de Comercio y disposiciones complementarias. </w:t>
      </w:r>
    </w:p>
    <w:p w14:paraId="23C37101" w14:textId="77777777" w:rsidR="00853FBE" w:rsidRDefault="00853FBE" w:rsidP="00853FBE">
      <w:pPr>
        <w:pStyle w:val="Textoindependiente"/>
        <w:ind w:firstLine="550"/>
        <w:rPr>
          <w:sz w:val="22"/>
          <w:szCs w:val="22"/>
        </w:rPr>
      </w:pPr>
      <w:r>
        <w:rPr>
          <w:sz w:val="22"/>
          <w:szCs w:val="22"/>
        </w:rPr>
        <w:t>La Entidad no participa en ninguna otra sociedad, ni tiene relación alguna con otras entidades con las cuales se pueda establecer una relación de grupo o asociada de acuerdo con los requisitos establecidos en el Art. 42 del Código de Comercio y en las Normas 13ª y 15ª de la Tercera Parte del Real Decreto 1514/2007 por el que se aprobó el Plan General de Contabilidad.</w:t>
      </w:r>
    </w:p>
    <w:p w14:paraId="1BD2E651" w14:textId="77777777" w:rsidR="00853FBE" w:rsidRDefault="00853FBE" w:rsidP="00853FBE">
      <w:pPr>
        <w:pStyle w:val="Textoindependiente"/>
        <w:ind w:firstLine="550"/>
        <w:rPr>
          <w:sz w:val="22"/>
          <w:szCs w:val="22"/>
        </w:rPr>
      </w:pPr>
      <w:r>
        <w:rPr>
          <w:sz w:val="22"/>
          <w:szCs w:val="22"/>
        </w:rPr>
        <w:t>La moneda funcional con la que opera la empresa es el euro. Para la formulación de los estados financieros en euros se han seguido los criterios establecidos en el Plan General Contable tal y como figura en el apartado 4. Normas de registro y valoración</w:t>
      </w:r>
    </w:p>
    <w:p w14:paraId="04DA78B0" w14:textId="77777777" w:rsidR="00853FBE" w:rsidRDefault="00853FBE" w:rsidP="00853FBE">
      <w:pPr>
        <w:pStyle w:val="Textoindependiente"/>
        <w:rPr>
          <w:sz w:val="22"/>
          <w:szCs w:val="22"/>
        </w:rPr>
      </w:pPr>
    </w:p>
    <w:p w14:paraId="4C54A173" w14:textId="77777777" w:rsidR="00853FBE" w:rsidRDefault="00853FBE" w:rsidP="00853FBE">
      <w:pPr>
        <w:pStyle w:val="Ttulo1"/>
        <w:spacing w:before="360" w:after="120"/>
        <w:ind w:left="567" w:hanging="567"/>
        <w:jc w:val="both"/>
        <w:rPr>
          <w:sz w:val="22"/>
          <w:szCs w:val="22"/>
        </w:rPr>
      </w:pPr>
      <w:bookmarkStart w:id="1" w:name="_Toc106814563"/>
      <w:r>
        <w:rPr>
          <w:sz w:val="22"/>
          <w:szCs w:val="22"/>
        </w:rPr>
        <w:t xml:space="preserve">2. </w:t>
      </w:r>
      <w:r>
        <w:rPr>
          <w:sz w:val="22"/>
          <w:szCs w:val="22"/>
        </w:rPr>
        <w:tab/>
        <w:t>Bases de presentación de las cuentas anuales</w:t>
      </w:r>
      <w:bookmarkEnd w:id="1"/>
    </w:p>
    <w:p w14:paraId="65C28461"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725D61A4" w14:textId="77777777" w:rsidR="00853FBE" w:rsidRDefault="00853FBE" w:rsidP="00853FBE">
      <w:pPr>
        <w:pStyle w:val="Ttulo2"/>
        <w:ind w:left="0"/>
        <w:rPr>
          <w:bCs w:val="0"/>
          <w:iCs/>
          <w:sz w:val="22"/>
        </w:rPr>
      </w:pPr>
      <w:bookmarkStart w:id="2" w:name="_Toc106814564"/>
      <w:r>
        <w:rPr>
          <w:bCs w:val="0"/>
          <w:iCs/>
          <w:sz w:val="22"/>
        </w:rPr>
        <w:t>2.1. Imagen fiel.</w:t>
      </w:r>
      <w:bookmarkEnd w:id="2"/>
    </w:p>
    <w:p w14:paraId="0377B9B5" w14:textId="4FF32DC8" w:rsidR="00853FBE" w:rsidRDefault="00853FBE" w:rsidP="00853FBE">
      <w:pPr>
        <w:pStyle w:val="Textoindependiente"/>
        <w:ind w:firstLine="550"/>
        <w:rPr>
          <w:sz w:val="22"/>
          <w:szCs w:val="22"/>
        </w:rPr>
      </w:pPr>
      <w:r>
        <w:rPr>
          <w:sz w:val="22"/>
          <w:szCs w:val="22"/>
        </w:rPr>
        <w:t xml:space="preserve">Las Cuentas Anuales  del ejercicio </w:t>
      </w:r>
      <w:r w:rsidR="000253BC">
        <w:rPr>
          <w:sz w:val="22"/>
          <w:szCs w:val="22"/>
        </w:rPr>
        <w:t>2021</w:t>
      </w:r>
      <w:r>
        <w:rPr>
          <w:sz w:val="22"/>
          <w:szCs w:val="22"/>
        </w:rPr>
        <w:t xml:space="preserve"> adjuntas han sido formuladas por el órgano de administración a partir de los registros contables de la Sociedad a 31 de diciembre de </w:t>
      </w:r>
      <w:r w:rsidR="000253BC">
        <w:rPr>
          <w:sz w:val="22"/>
          <w:szCs w:val="22"/>
        </w:rPr>
        <w:t>2021</w:t>
      </w:r>
      <w:r>
        <w:rPr>
          <w:sz w:val="22"/>
          <w:szCs w:val="22"/>
        </w:rPr>
        <w:t xml:space="preserve"> y en ellas se han aplicado los principios contables y criterios de valoración recogidos en el Real Decreto 1514/2007, por el que se aprueba el Plan General de Contabilidad</w:t>
      </w:r>
      <w:r w:rsidR="000253BC">
        <w:rPr>
          <w:sz w:val="22"/>
          <w:szCs w:val="22"/>
        </w:rPr>
        <w:t xml:space="preserve">, </w:t>
      </w:r>
      <w:r w:rsidR="000253BC" w:rsidRPr="000A2E83">
        <w:rPr>
          <w:sz w:val="22"/>
          <w:szCs w:val="22"/>
        </w:rPr>
        <w:t>modificado por el Real Decreto 1159/2010, de 17 de septiembre, por el Real Decreto 602/2016 de 2 de diciembre, y por el Real Decreto 1/2021 de 12 de enero,</w:t>
      </w:r>
      <w:r>
        <w:rPr>
          <w:sz w:val="22"/>
          <w:szCs w:val="22"/>
        </w:rPr>
        <w:t xml:space="preserve"> y el resto de disposiciones legales vigentes en materia contable, y muestran la imagen fiel del patrimonio, de  la situación financiera, de los resultados de la Sociedad y de los flujos de efectivo habidos en el mencionado ejercicio.</w:t>
      </w:r>
    </w:p>
    <w:p w14:paraId="231C023D" w14:textId="39BCD1BE" w:rsidR="00853FBE" w:rsidRDefault="00853FBE" w:rsidP="00853FBE">
      <w:pPr>
        <w:pStyle w:val="Textoindependiente"/>
        <w:tabs>
          <w:tab w:val="num" w:pos="990"/>
        </w:tabs>
        <w:ind w:firstLine="550"/>
        <w:rPr>
          <w:sz w:val="22"/>
          <w:szCs w:val="22"/>
        </w:rPr>
      </w:pPr>
      <w:r>
        <w:rPr>
          <w:sz w:val="22"/>
          <w:szCs w:val="22"/>
        </w:rPr>
        <w:t xml:space="preserve">No existen razones excepcionales por las que, para mostrar la imagen fiel, no se hayan aplicado disposiciones legales en materia contable. Las Cuentas Anuales de la </w:t>
      </w:r>
      <w:r>
        <w:rPr>
          <w:sz w:val="22"/>
          <w:szCs w:val="22"/>
        </w:rPr>
        <w:lastRenderedPageBreak/>
        <w:t xml:space="preserve">Sociedad del ejercicio </w:t>
      </w:r>
      <w:r w:rsidR="000253BC">
        <w:rPr>
          <w:sz w:val="22"/>
          <w:szCs w:val="22"/>
        </w:rPr>
        <w:t>2021</w:t>
      </w:r>
      <w:r>
        <w:rPr>
          <w:sz w:val="22"/>
          <w:szCs w:val="22"/>
        </w:rPr>
        <w:t xml:space="preserve"> están pendientes de aprobación por la Junta General de Accionistas y se estima que serán aprobadas sin modificaciones. </w:t>
      </w:r>
      <w:r w:rsidRPr="009D3778">
        <w:rPr>
          <w:sz w:val="22"/>
          <w:szCs w:val="22"/>
        </w:rPr>
        <w:t xml:space="preserve">Las Cuentas Anuales del ejercicio anterior, fueron aprobadas por la Junta General Ordinaria, el </w:t>
      </w:r>
      <w:r>
        <w:rPr>
          <w:sz w:val="22"/>
          <w:szCs w:val="22"/>
        </w:rPr>
        <w:t>30</w:t>
      </w:r>
      <w:r w:rsidRPr="009D3778">
        <w:rPr>
          <w:sz w:val="22"/>
          <w:szCs w:val="22"/>
        </w:rPr>
        <w:t xml:space="preserve"> de </w:t>
      </w:r>
      <w:r w:rsidR="000A2E83">
        <w:rPr>
          <w:sz w:val="22"/>
          <w:szCs w:val="22"/>
        </w:rPr>
        <w:t>junio</w:t>
      </w:r>
      <w:r>
        <w:rPr>
          <w:sz w:val="22"/>
          <w:szCs w:val="22"/>
        </w:rPr>
        <w:t xml:space="preserve"> de </w:t>
      </w:r>
      <w:r w:rsidR="000253BC">
        <w:rPr>
          <w:sz w:val="22"/>
          <w:szCs w:val="22"/>
        </w:rPr>
        <w:t>2021</w:t>
      </w:r>
      <w:r w:rsidRPr="009D3778">
        <w:rPr>
          <w:sz w:val="22"/>
          <w:szCs w:val="22"/>
        </w:rPr>
        <w:t>.</w:t>
      </w:r>
    </w:p>
    <w:p w14:paraId="048E9B75" w14:textId="77777777" w:rsidR="00853FBE" w:rsidRDefault="00853FBE" w:rsidP="00853FBE">
      <w:pPr>
        <w:pStyle w:val="Textoindependiente"/>
        <w:rPr>
          <w:sz w:val="22"/>
          <w:szCs w:val="22"/>
        </w:rPr>
      </w:pPr>
    </w:p>
    <w:p w14:paraId="6DEE7AF1" w14:textId="77777777" w:rsidR="00853FBE" w:rsidRDefault="00853FBE" w:rsidP="00853FBE">
      <w:pPr>
        <w:pStyle w:val="Ttulo2"/>
        <w:ind w:left="0"/>
        <w:rPr>
          <w:bCs w:val="0"/>
          <w:iCs/>
          <w:sz w:val="22"/>
          <w:szCs w:val="22"/>
        </w:rPr>
      </w:pPr>
      <w:bookmarkStart w:id="3" w:name="_Toc106814565"/>
      <w:r>
        <w:rPr>
          <w:bCs w:val="0"/>
          <w:iCs/>
          <w:sz w:val="22"/>
          <w:szCs w:val="22"/>
        </w:rPr>
        <w:t>2.2. Principios contables no obligatorios aplicados.</w:t>
      </w:r>
      <w:bookmarkEnd w:id="3"/>
    </w:p>
    <w:p w14:paraId="70EF6C87" w14:textId="07D2E243" w:rsidR="00853FBE" w:rsidRDefault="00853FBE" w:rsidP="00853FBE">
      <w:pPr>
        <w:pStyle w:val="Textoindependiente"/>
        <w:rPr>
          <w:sz w:val="22"/>
          <w:szCs w:val="22"/>
        </w:rPr>
      </w:pPr>
      <w:r>
        <w:rPr>
          <w:sz w:val="22"/>
          <w:szCs w:val="22"/>
        </w:rPr>
        <w:tab/>
        <w:t xml:space="preserve">No se ha aplicado ningún principio no obligatorio en el ejercicio </w:t>
      </w:r>
      <w:r w:rsidR="000253BC">
        <w:rPr>
          <w:sz w:val="22"/>
          <w:szCs w:val="22"/>
        </w:rPr>
        <w:t>2021</w:t>
      </w:r>
      <w:r>
        <w:rPr>
          <w:sz w:val="22"/>
          <w:szCs w:val="22"/>
        </w:rPr>
        <w:t>.</w:t>
      </w:r>
    </w:p>
    <w:p w14:paraId="2C237659" w14:textId="77777777" w:rsidR="00853FBE" w:rsidRDefault="00853FBE" w:rsidP="00853FBE">
      <w:pPr>
        <w:pStyle w:val="Textoindependiente"/>
        <w:rPr>
          <w:sz w:val="22"/>
          <w:szCs w:val="22"/>
        </w:rPr>
      </w:pPr>
    </w:p>
    <w:p w14:paraId="677FFF2F" w14:textId="77777777" w:rsidR="00853FBE" w:rsidRDefault="00853FBE" w:rsidP="00853FBE">
      <w:pPr>
        <w:pStyle w:val="Ttulo2"/>
        <w:ind w:left="0"/>
        <w:rPr>
          <w:bCs w:val="0"/>
          <w:iCs/>
          <w:sz w:val="22"/>
          <w:szCs w:val="22"/>
        </w:rPr>
      </w:pPr>
      <w:bookmarkStart w:id="4" w:name="_Toc106814566"/>
      <w:r>
        <w:rPr>
          <w:bCs w:val="0"/>
          <w:iCs/>
          <w:sz w:val="22"/>
          <w:szCs w:val="22"/>
        </w:rPr>
        <w:t>2.3. Aspectos críticos de la valoración y estimación de la incertidumbre.</w:t>
      </w:r>
      <w:bookmarkEnd w:id="4"/>
    </w:p>
    <w:p w14:paraId="346D9986" w14:textId="5FAA9118" w:rsidR="00853FBE" w:rsidRDefault="00853FBE" w:rsidP="00853FBE">
      <w:pPr>
        <w:pStyle w:val="Textoindependiente"/>
        <w:ind w:firstLine="550"/>
        <w:rPr>
          <w:sz w:val="22"/>
          <w:szCs w:val="22"/>
        </w:rPr>
      </w:pPr>
      <w:r>
        <w:rPr>
          <w:sz w:val="22"/>
          <w:szCs w:val="22"/>
        </w:rPr>
        <w:t xml:space="preserve">La Sociedad ha elaborado sus estados financieros bajo el principio de empresa en funcionamiento, </w:t>
      </w:r>
      <w:r w:rsidR="000A41EC" w:rsidRPr="000A41EC">
        <w:rPr>
          <w:sz w:val="22"/>
          <w:szCs w:val="22"/>
        </w:rPr>
        <w:t xml:space="preserve">habiendo tenido en consideración, la situación del ejercicio </w:t>
      </w:r>
      <w:r w:rsidR="000253BC">
        <w:rPr>
          <w:sz w:val="22"/>
          <w:szCs w:val="22"/>
        </w:rPr>
        <w:t>2021</w:t>
      </w:r>
      <w:r w:rsidR="000A41EC" w:rsidRPr="000A41EC">
        <w:rPr>
          <w:sz w:val="22"/>
          <w:szCs w:val="22"/>
        </w:rPr>
        <w:t xml:space="preserve"> y la situación actual del COVID-19, así como sus posibles efectos en la economía en general y en la empresa en particular, no existiendo riesgo de continuidad en su actividad</w:t>
      </w:r>
      <w:r>
        <w:rPr>
          <w:sz w:val="22"/>
          <w:szCs w:val="22"/>
        </w:rPr>
        <w:t xml:space="preserve">. </w:t>
      </w:r>
      <w:r w:rsidR="00277292">
        <w:rPr>
          <w:sz w:val="22"/>
          <w:szCs w:val="22"/>
        </w:rPr>
        <w:t>Este aspecto se describe en la nota 2</w:t>
      </w:r>
      <w:r w:rsidR="00EB0CAF">
        <w:rPr>
          <w:sz w:val="22"/>
          <w:szCs w:val="22"/>
        </w:rPr>
        <w:t>4</w:t>
      </w:r>
      <w:r w:rsidR="00277292">
        <w:rPr>
          <w:sz w:val="22"/>
          <w:szCs w:val="22"/>
        </w:rPr>
        <w:t>.</w:t>
      </w:r>
    </w:p>
    <w:p w14:paraId="6BA76F49" w14:textId="77777777" w:rsidR="00853FBE" w:rsidRDefault="00853FBE" w:rsidP="00853FBE">
      <w:pPr>
        <w:pStyle w:val="Textoindependiente"/>
        <w:ind w:firstLine="550"/>
        <w:rPr>
          <w:sz w:val="22"/>
          <w:szCs w:val="22"/>
        </w:rPr>
      </w:pPr>
      <w:r>
        <w:rPr>
          <w:sz w:val="22"/>
          <w:szCs w:val="22"/>
        </w:rPr>
        <w:t>En las cuentas anuales adjuntas se han utilizado ocasionalmente estimaciones realizadas por la Dirección de la Sociedad para cuantificar algunos de los activos, pasivos, ingresos, gastos y compromisos que figuran registrados en ella. Básicamente, estas estimaciones se refieren a:</w:t>
      </w:r>
    </w:p>
    <w:p w14:paraId="116539E9" w14:textId="77777777" w:rsidR="00853FBE" w:rsidRDefault="00853FBE" w:rsidP="00853FBE">
      <w:pPr>
        <w:pStyle w:val="Textoindependiente"/>
        <w:numPr>
          <w:ilvl w:val="0"/>
          <w:numId w:val="3"/>
        </w:numPr>
        <w:rPr>
          <w:sz w:val="22"/>
          <w:szCs w:val="22"/>
        </w:rPr>
      </w:pPr>
      <w:r>
        <w:rPr>
          <w:sz w:val="22"/>
          <w:szCs w:val="22"/>
        </w:rPr>
        <w:t>Vida útil de los activos materiales (Nota 4.2 y Nota 4.3) e intangibles (Nota  7.1)</w:t>
      </w:r>
    </w:p>
    <w:p w14:paraId="736B52D1" w14:textId="77777777" w:rsidR="00853FBE" w:rsidRDefault="00853FBE" w:rsidP="00853FBE">
      <w:pPr>
        <w:pStyle w:val="Textoindependiente"/>
        <w:numPr>
          <w:ilvl w:val="0"/>
          <w:numId w:val="3"/>
        </w:numPr>
        <w:rPr>
          <w:sz w:val="22"/>
          <w:szCs w:val="22"/>
        </w:rPr>
      </w:pPr>
      <w:r>
        <w:rPr>
          <w:sz w:val="22"/>
          <w:szCs w:val="22"/>
        </w:rPr>
        <w:t>Las estimaciones realizadas para la determinación de los compromisos de pagos futuros (Nota 16)</w:t>
      </w:r>
    </w:p>
    <w:p w14:paraId="77551E73" w14:textId="77777777" w:rsidR="00853FBE" w:rsidRDefault="00853FBE" w:rsidP="00853FBE">
      <w:pPr>
        <w:pStyle w:val="Textoindependiente"/>
        <w:ind w:firstLine="708"/>
        <w:rPr>
          <w:sz w:val="22"/>
          <w:szCs w:val="22"/>
        </w:rPr>
      </w:pPr>
      <w:r>
        <w:rPr>
          <w:sz w:val="22"/>
          <w:szCs w:val="22"/>
        </w:rPr>
        <w:t>Es posible que, a pesar de que estas estimaciones se realizaron en función de la mejor información disponible a la fecha de formulación de estas cuentas anuales sobre los hechos analizados, se produzcan acontecimientos en el futuro que obliguen a modificarlas (al alza o a la baja) en próximos ejercicios, lo que se haría de forma prospectiva reconociendo los efectos del cambio de estimación en las correspondientes cuentas de pérdidas y ganancias futuras.</w:t>
      </w:r>
    </w:p>
    <w:p w14:paraId="1282140D" w14:textId="77777777" w:rsidR="005C0817" w:rsidRDefault="005C0817" w:rsidP="00853FBE">
      <w:pPr>
        <w:pStyle w:val="Ttulo2"/>
        <w:ind w:left="0"/>
        <w:rPr>
          <w:bCs w:val="0"/>
          <w:iCs/>
          <w:sz w:val="22"/>
          <w:szCs w:val="22"/>
        </w:rPr>
      </w:pPr>
    </w:p>
    <w:p w14:paraId="59979236" w14:textId="77777777" w:rsidR="00853FBE" w:rsidRDefault="00853FBE" w:rsidP="00853FBE">
      <w:pPr>
        <w:pStyle w:val="Ttulo2"/>
        <w:ind w:left="0"/>
        <w:rPr>
          <w:bCs w:val="0"/>
          <w:iCs/>
          <w:sz w:val="22"/>
          <w:szCs w:val="22"/>
        </w:rPr>
      </w:pPr>
      <w:bookmarkStart w:id="5" w:name="_Toc518400300"/>
      <w:bookmarkStart w:id="6" w:name="_Toc106814567"/>
      <w:r>
        <w:rPr>
          <w:bCs w:val="0"/>
          <w:iCs/>
          <w:sz w:val="22"/>
          <w:szCs w:val="22"/>
        </w:rPr>
        <w:t>2.4. Comparación de la información.</w:t>
      </w:r>
      <w:bookmarkEnd w:id="5"/>
      <w:bookmarkEnd w:id="6"/>
    </w:p>
    <w:p w14:paraId="3CD16944" w14:textId="77777777" w:rsidR="00247986" w:rsidRPr="000A2E83" w:rsidRDefault="00247986" w:rsidP="00247986">
      <w:pPr>
        <w:pStyle w:val="Textoindependiente"/>
        <w:ind w:firstLine="708"/>
        <w:rPr>
          <w:sz w:val="22"/>
          <w:szCs w:val="22"/>
        </w:rPr>
      </w:pPr>
      <w:r w:rsidRPr="000A2E83">
        <w:rPr>
          <w:sz w:val="22"/>
          <w:szCs w:val="22"/>
        </w:rPr>
        <w:t>De acuerdo con la legislación mercantil, se presenta, a efectos comparativos, con cada una de las partidas del balance, de la cuenta de pérdidas y ganancias, del estado de cambios en el patrimonio neto, del estado de flujos de efectivo y de la memoria, además de las cifras del ejercicio 2021, las correspondientes al ejercicio anterior.</w:t>
      </w:r>
    </w:p>
    <w:p w14:paraId="0DD0517C" w14:textId="77777777" w:rsidR="00247986" w:rsidRPr="000A2E83" w:rsidRDefault="00247986" w:rsidP="00247986">
      <w:pPr>
        <w:pStyle w:val="Textoindependiente"/>
        <w:ind w:firstLine="708"/>
        <w:rPr>
          <w:sz w:val="22"/>
          <w:szCs w:val="22"/>
        </w:rPr>
      </w:pPr>
      <w:r w:rsidRPr="000A2E83">
        <w:rPr>
          <w:sz w:val="22"/>
          <w:szCs w:val="22"/>
        </w:rPr>
        <w:t xml:space="preserve">Con fecha 30 de enero de 2021 se publicó el Real Decreto 1/2021, de 12 de enero, por el que se modifica el Plan General de Contabilidad aprobado por el Real Decreto 1514/2007 y sus sucesivos desarrollos posteriores. Las nuevas modificaciones son de aplicación a los ejercicios que se inicien a partir del 1 de enero de 2021 y van referidas principalmente a aspectos relacionados con los criterios de reconocimiento, valoración, presentación y desglose de Instrumentos financieros, Existencias, e Ingresos por ventas y prestaciones de servicios. Dadas las características y la no complejidad de las actividades y operaciones que realiza la Sociedad, el impacto de </w:t>
      </w:r>
      <w:r w:rsidRPr="000A2E83">
        <w:rPr>
          <w:sz w:val="22"/>
          <w:szCs w:val="22"/>
        </w:rPr>
        <w:lastRenderedPageBreak/>
        <w:t>dichos cambios ha sido no significativo, no afectando, consecuentemente, de forma relevante, en la presentación y contenido de las presentes cuentas anuales.</w:t>
      </w:r>
    </w:p>
    <w:p w14:paraId="594A651C" w14:textId="77777777" w:rsidR="00247986" w:rsidRDefault="00247986" w:rsidP="00247986">
      <w:pPr>
        <w:pStyle w:val="Textoindependiente"/>
        <w:ind w:firstLine="708"/>
        <w:rPr>
          <w:sz w:val="22"/>
          <w:szCs w:val="22"/>
        </w:rPr>
      </w:pPr>
      <w:r w:rsidRPr="000A2E83">
        <w:rPr>
          <w:sz w:val="22"/>
          <w:szCs w:val="22"/>
        </w:rPr>
        <w:t>De acuerdo con el apartado de la Disposición 1 Transitoria Primera del Real Decreto 1/2021, la Sociedad, ha optado por la aplicación de los nuevos criterios considerando como fecha de transición el 1 de enero de 2021, y las cifras correspondientes al ejercicio 2020 que se incluyen a efectos comparativos en las cuentas anuales del ejercicio 2021, no se han adaptado conforme a los nuevos criterios, sin perjuicio de la reclasificación de las partidas del ejercicio anterior de Instrumentos financieros a la nueva presentación en aplicación de la Disposición Transitoria Segunda.</w:t>
      </w:r>
    </w:p>
    <w:p w14:paraId="33FB6386" w14:textId="36692E63" w:rsidR="00247986" w:rsidRDefault="00247986" w:rsidP="00247986">
      <w:pPr>
        <w:pStyle w:val="Textoindependiente"/>
        <w:ind w:firstLine="708"/>
        <w:rPr>
          <w:sz w:val="22"/>
          <w:szCs w:val="22"/>
        </w:rPr>
      </w:pPr>
      <w:r w:rsidRPr="00247986">
        <w:rPr>
          <w:sz w:val="22"/>
          <w:szCs w:val="22"/>
        </w:rPr>
        <w:t>Algunos importes correspondientes al ejercicio 2020 han sido reclasificados en las presentes cuentas anuales con el fin de hacerlas comparables con las del ejercicio actual y facilitar su comparación (Ver nota 2.8).</w:t>
      </w:r>
    </w:p>
    <w:p w14:paraId="3A1AAB60" w14:textId="118B9C64" w:rsidR="00853FBE" w:rsidRPr="003C27B7" w:rsidRDefault="00853FBE" w:rsidP="00247986">
      <w:pPr>
        <w:pStyle w:val="Textoindependiente"/>
        <w:ind w:firstLine="708"/>
        <w:rPr>
          <w:sz w:val="22"/>
          <w:szCs w:val="22"/>
        </w:rPr>
      </w:pPr>
      <w:r w:rsidRPr="003C27B7">
        <w:rPr>
          <w:sz w:val="22"/>
          <w:szCs w:val="22"/>
        </w:rPr>
        <w:t>La Sociedad está obligada a auditar las cuenta</w:t>
      </w:r>
      <w:r>
        <w:rPr>
          <w:sz w:val="22"/>
          <w:szCs w:val="22"/>
        </w:rPr>
        <w:t xml:space="preserve">s anuales de los ejercicios </w:t>
      </w:r>
      <w:r w:rsidR="000253BC">
        <w:rPr>
          <w:sz w:val="22"/>
          <w:szCs w:val="22"/>
        </w:rPr>
        <w:t>2021</w:t>
      </w:r>
      <w:r>
        <w:rPr>
          <w:sz w:val="22"/>
          <w:szCs w:val="22"/>
        </w:rPr>
        <w:t xml:space="preserve"> y </w:t>
      </w:r>
      <w:r w:rsidR="000253BC">
        <w:rPr>
          <w:sz w:val="22"/>
          <w:szCs w:val="22"/>
        </w:rPr>
        <w:t>2020</w:t>
      </w:r>
      <w:r w:rsidRPr="003C27B7">
        <w:rPr>
          <w:sz w:val="22"/>
          <w:szCs w:val="22"/>
        </w:rPr>
        <w:t>. Ambos auditados.</w:t>
      </w:r>
    </w:p>
    <w:p w14:paraId="2C2D5499" w14:textId="77777777" w:rsidR="00853FBE" w:rsidRDefault="00853FBE" w:rsidP="00853FBE">
      <w:pPr>
        <w:pStyle w:val="Textoindependiente"/>
        <w:ind w:left="990"/>
        <w:rPr>
          <w:sz w:val="22"/>
          <w:szCs w:val="22"/>
        </w:rPr>
      </w:pPr>
    </w:p>
    <w:p w14:paraId="62133970" w14:textId="77777777" w:rsidR="00853FBE" w:rsidRDefault="00853FBE" w:rsidP="00853FBE">
      <w:pPr>
        <w:pStyle w:val="Ttulo2"/>
        <w:ind w:left="0"/>
        <w:rPr>
          <w:bCs w:val="0"/>
          <w:iCs/>
          <w:sz w:val="22"/>
          <w:szCs w:val="22"/>
        </w:rPr>
      </w:pPr>
      <w:bookmarkStart w:id="7" w:name="_Toc106814568"/>
      <w:r>
        <w:rPr>
          <w:bCs w:val="0"/>
          <w:iCs/>
          <w:sz w:val="22"/>
          <w:szCs w:val="22"/>
        </w:rPr>
        <w:t>2.5. Agrupación de partidas.</w:t>
      </w:r>
      <w:bookmarkEnd w:id="7"/>
    </w:p>
    <w:p w14:paraId="168F5EF3" w14:textId="77777777" w:rsidR="00853FBE" w:rsidRDefault="00853FBE" w:rsidP="00853FBE">
      <w:pPr>
        <w:pStyle w:val="Textoindependiente"/>
        <w:ind w:firstLine="550"/>
        <w:rPr>
          <w:sz w:val="22"/>
          <w:szCs w:val="22"/>
        </w:rPr>
      </w:pPr>
      <w:r>
        <w:rPr>
          <w:sz w:val="22"/>
          <w:szCs w:val="22"/>
        </w:rPr>
        <w:t xml:space="preserve">Las cuentas anuales no tienen ninguna partida que haya sido objeto de agrupación en el balance, en la cuenta de pérdidas y ganancias, en el estado de cambios en el patrimonio neto o en el estado de flujos de efectivo. </w:t>
      </w:r>
    </w:p>
    <w:p w14:paraId="153A3AEA" w14:textId="77777777" w:rsidR="00853FBE" w:rsidRDefault="00853FBE" w:rsidP="00853FBE">
      <w:pPr>
        <w:pStyle w:val="Textoindependiente"/>
        <w:ind w:left="990"/>
        <w:rPr>
          <w:sz w:val="22"/>
          <w:szCs w:val="22"/>
        </w:rPr>
      </w:pPr>
    </w:p>
    <w:p w14:paraId="75F2E40B" w14:textId="77777777" w:rsidR="00853FBE" w:rsidRDefault="00853FBE" w:rsidP="00853FBE">
      <w:pPr>
        <w:pStyle w:val="Ttulo2"/>
        <w:ind w:left="0"/>
        <w:rPr>
          <w:bCs w:val="0"/>
          <w:iCs/>
          <w:sz w:val="22"/>
          <w:szCs w:val="22"/>
        </w:rPr>
      </w:pPr>
      <w:bookmarkStart w:id="8" w:name="_Toc106814569"/>
      <w:r>
        <w:rPr>
          <w:bCs w:val="0"/>
          <w:iCs/>
          <w:sz w:val="22"/>
          <w:szCs w:val="22"/>
        </w:rPr>
        <w:t>2.6. Elementos recogidos en varias partidas.</w:t>
      </w:r>
      <w:bookmarkEnd w:id="8"/>
    </w:p>
    <w:p w14:paraId="02236D51" w14:textId="63E526CF" w:rsidR="00853FBE" w:rsidRDefault="00853FBE" w:rsidP="00853FBE">
      <w:pPr>
        <w:pStyle w:val="Textoindependiente"/>
        <w:ind w:firstLine="708"/>
        <w:rPr>
          <w:sz w:val="22"/>
          <w:szCs w:val="22"/>
        </w:rPr>
      </w:pPr>
      <w:r>
        <w:rPr>
          <w:sz w:val="22"/>
          <w:szCs w:val="22"/>
        </w:rPr>
        <w:t xml:space="preserve">No </w:t>
      </w:r>
      <w:r w:rsidR="00247986">
        <w:rPr>
          <w:sz w:val="22"/>
          <w:szCs w:val="22"/>
        </w:rPr>
        <w:t>se presentan</w:t>
      </w:r>
      <w:r>
        <w:rPr>
          <w:sz w:val="22"/>
          <w:szCs w:val="22"/>
        </w:rPr>
        <w:t xml:space="preserve"> elementos patrimoniales registrados en dos o más partidas del balance. </w:t>
      </w:r>
    </w:p>
    <w:p w14:paraId="24255E85" w14:textId="77777777" w:rsidR="00853FBE" w:rsidRDefault="00853FBE" w:rsidP="00853FBE">
      <w:pPr>
        <w:pStyle w:val="Textoindependiente"/>
        <w:ind w:left="990"/>
        <w:rPr>
          <w:sz w:val="22"/>
          <w:szCs w:val="22"/>
        </w:rPr>
      </w:pPr>
    </w:p>
    <w:p w14:paraId="48A7E098" w14:textId="77777777" w:rsidR="00853FBE" w:rsidRDefault="00853FBE" w:rsidP="00853FBE">
      <w:pPr>
        <w:pStyle w:val="Ttulo2"/>
        <w:ind w:left="0"/>
        <w:rPr>
          <w:bCs w:val="0"/>
          <w:iCs/>
          <w:sz w:val="22"/>
          <w:szCs w:val="22"/>
        </w:rPr>
      </w:pPr>
      <w:bookmarkStart w:id="9" w:name="_Toc106814570"/>
      <w:r>
        <w:rPr>
          <w:bCs w:val="0"/>
          <w:iCs/>
          <w:sz w:val="22"/>
          <w:szCs w:val="22"/>
        </w:rPr>
        <w:t>2.7. Cambios en criterios contables.</w:t>
      </w:r>
      <w:bookmarkEnd w:id="9"/>
    </w:p>
    <w:p w14:paraId="6B60149D" w14:textId="27444647" w:rsidR="00853FBE" w:rsidRDefault="00853FBE" w:rsidP="00853FBE">
      <w:pPr>
        <w:pStyle w:val="Textoindependiente"/>
        <w:ind w:firstLine="708"/>
        <w:rPr>
          <w:sz w:val="22"/>
          <w:szCs w:val="22"/>
        </w:rPr>
      </w:pPr>
      <w:r>
        <w:rPr>
          <w:sz w:val="22"/>
          <w:szCs w:val="22"/>
        </w:rPr>
        <w:t xml:space="preserve">No se han realizado en el ejercicio, ajustes a las cuentas anuales del ejercicio </w:t>
      </w:r>
      <w:r w:rsidR="000253BC">
        <w:rPr>
          <w:sz w:val="22"/>
          <w:szCs w:val="22"/>
        </w:rPr>
        <w:t>2021</w:t>
      </w:r>
      <w:r>
        <w:rPr>
          <w:sz w:val="22"/>
          <w:szCs w:val="22"/>
        </w:rPr>
        <w:t xml:space="preserve"> por cambios de criterios contables. </w:t>
      </w:r>
    </w:p>
    <w:p w14:paraId="6003AC5E" w14:textId="77777777" w:rsidR="00853FBE" w:rsidRDefault="00853FBE" w:rsidP="00853FBE">
      <w:pPr>
        <w:pStyle w:val="Textoindependiente"/>
        <w:ind w:left="990"/>
        <w:rPr>
          <w:sz w:val="22"/>
          <w:szCs w:val="22"/>
        </w:rPr>
      </w:pPr>
    </w:p>
    <w:p w14:paraId="07F86A31" w14:textId="77777777" w:rsidR="00853FBE" w:rsidRDefault="00853FBE" w:rsidP="00853FBE">
      <w:pPr>
        <w:pStyle w:val="Ttulo2"/>
        <w:ind w:left="0"/>
        <w:rPr>
          <w:bCs w:val="0"/>
          <w:iCs/>
          <w:sz w:val="22"/>
          <w:szCs w:val="22"/>
        </w:rPr>
      </w:pPr>
      <w:bookmarkStart w:id="10" w:name="_Toc106814571"/>
      <w:r>
        <w:rPr>
          <w:bCs w:val="0"/>
          <w:iCs/>
          <w:sz w:val="22"/>
          <w:szCs w:val="22"/>
        </w:rPr>
        <w:t>2.8. Corrección de errores.</w:t>
      </w:r>
      <w:bookmarkEnd w:id="10"/>
    </w:p>
    <w:p w14:paraId="4B5EB42E" w14:textId="170BF8DC" w:rsidR="00EA7902" w:rsidRDefault="00853FBE" w:rsidP="00853FBE">
      <w:pPr>
        <w:pStyle w:val="Textoindependiente"/>
        <w:ind w:firstLine="708"/>
        <w:rPr>
          <w:sz w:val="22"/>
          <w:szCs w:val="22"/>
        </w:rPr>
      </w:pPr>
      <w:r>
        <w:rPr>
          <w:sz w:val="22"/>
          <w:szCs w:val="22"/>
        </w:rPr>
        <w:t xml:space="preserve">Las cuentas anuales del ejercicio </w:t>
      </w:r>
      <w:r w:rsidR="000253BC">
        <w:rPr>
          <w:sz w:val="22"/>
          <w:szCs w:val="22"/>
        </w:rPr>
        <w:t>2021</w:t>
      </w:r>
      <w:r>
        <w:rPr>
          <w:sz w:val="22"/>
          <w:szCs w:val="22"/>
        </w:rPr>
        <w:t xml:space="preserve"> incluyen ajustes realizados como consecuencia de </w:t>
      </w:r>
      <w:r w:rsidR="00437C13">
        <w:rPr>
          <w:sz w:val="22"/>
          <w:szCs w:val="22"/>
        </w:rPr>
        <w:t>errores en los saldos de mano-corriente de los hoteles de la Sociedad</w:t>
      </w:r>
      <w:r w:rsidR="006E57E7">
        <w:rPr>
          <w:sz w:val="22"/>
          <w:szCs w:val="22"/>
        </w:rPr>
        <w:t xml:space="preserve">, por importe de </w:t>
      </w:r>
      <w:r w:rsidR="00247986">
        <w:rPr>
          <w:sz w:val="22"/>
          <w:szCs w:val="22"/>
        </w:rPr>
        <w:t>1.498,81</w:t>
      </w:r>
      <w:r w:rsidR="006E57E7">
        <w:rPr>
          <w:sz w:val="22"/>
          <w:szCs w:val="22"/>
        </w:rPr>
        <w:t xml:space="preserve"> €</w:t>
      </w:r>
      <w:r w:rsidR="00EA7902">
        <w:rPr>
          <w:sz w:val="22"/>
          <w:szCs w:val="22"/>
        </w:rPr>
        <w:t xml:space="preserve">. </w:t>
      </w:r>
    </w:p>
    <w:p w14:paraId="1DC66724" w14:textId="074E87D3" w:rsidR="00EA7902" w:rsidRDefault="00EA7902" w:rsidP="00EA7902">
      <w:pPr>
        <w:pStyle w:val="Textoindependiente"/>
        <w:ind w:firstLine="708"/>
        <w:rPr>
          <w:sz w:val="22"/>
          <w:szCs w:val="22"/>
        </w:rPr>
      </w:pPr>
      <w:r>
        <w:rPr>
          <w:sz w:val="22"/>
          <w:szCs w:val="22"/>
        </w:rPr>
        <w:t xml:space="preserve">Se ha procedido a corregir los errores detectados de forma retroactiva, tal y como establece la normativa aplicable, habiendo reclasificado </w:t>
      </w:r>
      <w:r w:rsidR="006E57E7">
        <w:rPr>
          <w:sz w:val="22"/>
          <w:szCs w:val="22"/>
        </w:rPr>
        <w:t xml:space="preserve">por tanto para el ejercicio </w:t>
      </w:r>
      <w:r w:rsidR="000253BC">
        <w:rPr>
          <w:sz w:val="22"/>
          <w:szCs w:val="22"/>
        </w:rPr>
        <w:t>2020</w:t>
      </w:r>
      <w:r>
        <w:rPr>
          <w:sz w:val="22"/>
          <w:szCs w:val="22"/>
        </w:rPr>
        <w:t xml:space="preserve">, y a fin </w:t>
      </w:r>
      <w:r w:rsidRPr="00284FF3">
        <w:rPr>
          <w:sz w:val="22"/>
          <w:szCs w:val="22"/>
        </w:rPr>
        <w:t>de hacerlas comparables con las del ejercicio actual</w:t>
      </w:r>
      <w:r>
        <w:rPr>
          <w:sz w:val="22"/>
          <w:szCs w:val="22"/>
        </w:rPr>
        <w:t xml:space="preserve">, las siguientes partidas: </w:t>
      </w:r>
      <w:r w:rsidRPr="00284FF3">
        <w:rPr>
          <w:sz w:val="22"/>
          <w:szCs w:val="22"/>
        </w:rPr>
        <w:t xml:space="preserve"> </w:t>
      </w:r>
    </w:p>
    <w:p w14:paraId="2CA74D49" w14:textId="0B402F00" w:rsidR="006E57E7" w:rsidRDefault="006E57E7" w:rsidP="00684FBC">
      <w:pPr>
        <w:pStyle w:val="Textoindependiente"/>
        <w:numPr>
          <w:ilvl w:val="0"/>
          <w:numId w:val="42"/>
        </w:numPr>
        <w:rPr>
          <w:sz w:val="22"/>
          <w:szCs w:val="22"/>
        </w:rPr>
      </w:pPr>
      <w:r w:rsidRPr="006E57E7">
        <w:rPr>
          <w:sz w:val="22"/>
          <w:szCs w:val="22"/>
        </w:rPr>
        <w:t>El epígrafe “</w:t>
      </w:r>
      <w:r>
        <w:rPr>
          <w:sz w:val="22"/>
          <w:szCs w:val="22"/>
        </w:rPr>
        <w:t>A.</w:t>
      </w:r>
      <w:r w:rsidR="001248A9">
        <w:rPr>
          <w:sz w:val="22"/>
          <w:szCs w:val="22"/>
        </w:rPr>
        <w:t>III</w:t>
      </w:r>
      <w:r>
        <w:rPr>
          <w:sz w:val="22"/>
          <w:szCs w:val="22"/>
        </w:rPr>
        <w:t>.</w:t>
      </w:r>
      <w:r w:rsidR="001248A9">
        <w:rPr>
          <w:sz w:val="22"/>
          <w:szCs w:val="22"/>
        </w:rPr>
        <w:t>2</w:t>
      </w:r>
      <w:r>
        <w:rPr>
          <w:sz w:val="22"/>
          <w:szCs w:val="22"/>
        </w:rPr>
        <w:t xml:space="preserve">) </w:t>
      </w:r>
      <w:r w:rsidR="001248A9">
        <w:rPr>
          <w:sz w:val="22"/>
          <w:szCs w:val="22"/>
        </w:rPr>
        <w:t>Otras Reservas</w:t>
      </w:r>
      <w:r>
        <w:rPr>
          <w:sz w:val="22"/>
          <w:szCs w:val="22"/>
        </w:rPr>
        <w:t>” de</w:t>
      </w:r>
      <w:r w:rsidR="001248A9">
        <w:rPr>
          <w:sz w:val="22"/>
          <w:szCs w:val="22"/>
        </w:rPr>
        <w:t>l patrimonio neto del balance</w:t>
      </w:r>
      <w:r>
        <w:rPr>
          <w:sz w:val="22"/>
          <w:szCs w:val="22"/>
        </w:rPr>
        <w:t xml:space="preserve">, </w:t>
      </w:r>
      <w:r w:rsidR="00EB3E71">
        <w:rPr>
          <w:sz w:val="22"/>
          <w:szCs w:val="22"/>
        </w:rPr>
        <w:t>disminuye</w:t>
      </w:r>
      <w:r>
        <w:rPr>
          <w:sz w:val="22"/>
          <w:szCs w:val="22"/>
        </w:rPr>
        <w:t xml:space="preserve"> su saldo en </w:t>
      </w:r>
      <w:r w:rsidR="00EB3E71">
        <w:rPr>
          <w:sz w:val="22"/>
          <w:szCs w:val="22"/>
        </w:rPr>
        <w:t>1.498,81</w:t>
      </w:r>
      <w:r w:rsidR="00B908B9">
        <w:rPr>
          <w:sz w:val="22"/>
          <w:szCs w:val="22"/>
        </w:rPr>
        <w:t xml:space="preserve"> </w:t>
      </w:r>
      <w:r w:rsidR="001248A9">
        <w:rPr>
          <w:sz w:val="22"/>
          <w:szCs w:val="22"/>
        </w:rPr>
        <w:t>€</w:t>
      </w:r>
      <w:r>
        <w:rPr>
          <w:sz w:val="22"/>
          <w:szCs w:val="22"/>
        </w:rPr>
        <w:t xml:space="preserve">. </w:t>
      </w:r>
    </w:p>
    <w:p w14:paraId="0263872A" w14:textId="3764749D" w:rsidR="006E57E7" w:rsidRDefault="006E57E7" w:rsidP="006E57E7">
      <w:pPr>
        <w:pStyle w:val="Textoindependiente"/>
        <w:numPr>
          <w:ilvl w:val="0"/>
          <w:numId w:val="42"/>
        </w:numPr>
        <w:rPr>
          <w:color w:val="auto"/>
          <w:sz w:val="22"/>
          <w:szCs w:val="22"/>
        </w:rPr>
      </w:pPr>
      <w:r>
        <w:rPr>
          <w:color w:val="auto"/>
          <w:sz w:val="22"/>
          <w:szCs w:val="22"/>
        </w:rPr>
        <w:t>El epígrafe “</w:t>
      </w:r>
      <w:r w:rsidR="00437C13">
        <w:rPr>
          <w:color w:val="auto"/>
          <w:sz w:val="22"/>
          <w:szCs w:val="22"/>
        </w:rPr>
        <w:t>B</w:t>
      </w:r>
      <w:r>
        <w:rPr>
          <w:color w:val="auto"/>
          <w:sz w:val="22"/>
          <w:szCs w:val="22"/>
        </w:rPr>
        <w:t>.I</w:t>
      </w:r>
      <w:r w:rsidR="00437C13">
        <w:rPr>
          <w:color w:val="auto"/>
          <w:sz w:val="22"/>
          <w:szCs w:val="22"/>
        </w:rPr>
        <w:t>II</w:t>
      </w:r>
      <w:r>
        <w:rPr>
          <w:color w:val="auto"/>
          <w:sz w:val="22"/>
          <w:szCs w:val="22"/>
        </w:rPr>
        <w:t>.</w:t>
      </w:r>
      <w:r w:rsidR="00437C13">
        <w:rPr>
          <w:color w:val="auto"/>
          <w:sz w:val="22"/>
          <w:szCs w:val="22"/>
        </w:rPr>
        <w:t>1</w:t>
      </w:r>
      <w:r>
        <w:rPr>
          <w:color w:val="auto"/>
          <w:sz w:val="22"/>
          <w:szCs w:val="22"/>
        </w:rPr>
        <w:t xml:space="preserve">.) </w:t>
      </w:r>
      <w:r w:rsidR="00437C13">
        <w:rPr>
          <w:color w:val="auto"/>
          <w:sz w:val="22"/>
          <w:szCs w:val="22"/>
        </w:rPr>
        <w:t>Clientes por prestaciones de servicios”</w:t>
      </w:r>
      <w:r>
        <w:rPr>
          <w:color w:val="auto"/>
          <w:sz w:val="22"/>
          <w:szCs w:val="22"/>
        </w:rPr>
        <w:t xml:space="preserve">, del </w:t>
      </w:r>
      <w:r w:rsidR="00437C13">
        <w:rPr>
          <w:color w:val="auto"/>
          <w:sz w:val="22"/>
          <w:szCs w:val="22"/>
        </w:rPr>
        <w:t>activo</w:t>
      </w:r>
      <w:r>
        <w:rPr>
          <w:color w:val="auto"/>
          <w:sz w:val="22"/>
          <w:szCs w:val="22"/>
        </w:rPr>
        <w:t xml:space="preserve"> corriente del balance, </w:t>
      </w:r>
      <w:r w:rsidR="00EB3E71">
        <w:rPr>
          <w:color w:val="auto"/>
          <w:sz w:val="22"/>
          <w:szCs w:val="22"/>
        </w:rPr>
        <w:t>disminuye</w:t>
      </w:r>
      <w:r>
        <w:rPr>
          <w:color w:val="auto"/>
          <w:sz w:val="22"/>
          <w:szCs w:val="22"/>
        </w:rPr>
        <w:t xml:space="preserve"> su saldo en </w:t>
      </w:r>
      <w:r w:rsidR="00EB3E71">
        <w:rPr>
          <w:sz w:val="22"/>
          <w:szCs w:val="22"/>
        </w:rPr>
        <w:t xml:space="preserve">1.498,81 </w:t>
      </w:r>
      <w:r>
        <w:rPr>
          <w:color w:val="auto"/>
          <w:sz w:val="22"/>
          <w:szCs w:val="22"/>
        </w:rPr>
        <w:t>€.</w:t>
      </w:r>
    </w:p>
    <w:p w14:paraId="0944A228" w14:textId="74CD94BC" w:rsidR="001248A9" w:rsidRDefault="001248A9" w:rsidP="001248A9">
      <w:pPr>
        <w:pStyle w:val="Textoindependiente"/>
        <w:rPr>
          <w:color w:val="auto"/>
          <w:sz w:val="22"/>
          <w:szCs w:val="22"/>
        </w:rPr>
      </w:pPr>
    </w:p>
    <w:p w14:paraId="297D4564" w14:textId="77777777" w:rsidR="001248A9" w:rsidRPr="001248A9" w:rsidRDefault="001248A9" w:rsidP="001248A9">
      <w:pPr>
        <w:pStyle w:val="Ttulo2"/>
        <w:ind w:left="0"/>
        <w:rPr>
          <w:bCs w:val="0"/>
          <w:iCs/>
          <w:sz w:val="22"/>
          <w:szCs w:val="22"/>
        </w:rPr>
      </w:pPr>
      <w:bookmarkStart w:id="11" w:name="_Toc289332747"/>
      <w:bookmarkStart w:id="12" w:name="_Toc475092207"/>
      <w:bookmarkStart w:id="13" w:name="_Toc106814572"/>
      <w:r w:rsidRPr="001248A9">
        <w:rPr>
          <w:bCs w:val="0"/>
          <w:iCs/>
          <w:sz w:val="22"/>
          <w:szCs w:val="22"/>
        </w:rPr>
        <w:lastRenderedPageBreak/>
        <w:t>2.9. Importancia Relativa</w:t>
      </w:r>
      <w:bookmarkEnd w:id="11"/>
      <w:bookmarkEnd w:id="12"/>
      <w:bookmarkEnd w:id="13"/>
    </w:p>
    <w:p w14:paraId="45DBE452" w14:textId="199B8F27" w:rsidR="001248A9" w:rsidRPr="001248A9" w:rsidRDefault="001248A9" w:rsidP="001248A9">
      <w:pPr>
        <w:pStyle w:val="Textoindependiente"/>
        <w:ind w:firstLine="708"/>
        <w:rPr>
          <w:sz w:val="22"/>
          <w:szCs w:val="22"/>
        </w:rPr>
      </w:pPr>
      <w:r w:rsidRPr="001248A9">
        <w:rPr>
          <w:sz w:val="22"/>
          <w:szCs w:val="22"/>
        </w:rPr>
        <w:t xml:space="preserve">Al determinar la información a desglosar en la presente memoria sobre las diferentes partidas de los estados financieros u otros asuntos, la Sociedad, de acuerdo con el Marco Conceptual del Plan General de Contabilidad, ha tenido en cuenta la importancia relativa en relación con las cuentas anuales del ejercicio </w:t>
      </w:r>
      <w:r w:rsidR="000253BC">
        <w:rPr>
          <w:sz w:val="22"/>
          <w:szCs w:val="22"/>
        </w:rPr>
        <w:t>2021</w:t>
      </w:r>
      <w:r w:rsidRPr="001248A9">
        <w:rPr>
          <w:sz w:val="22"/>
          <w:szCs w:val="22"/>
        </w:rPr>
        <w:t>.</w:t>
      </w:r>
    </w:p>
    <w:p w14:paraId="20C47AAD" w14:textId="77777777" w:rsidR="00853FBE" w:rsidRDefault="00853FBE" w:rsidP="00853FBE">
      <w:pPr>
        <w:pStyle w:val="Ttulo1"/>
        <w:spacing w:before="360" w:after="120"/>
        <w:ind w:left="567" w:hanging="567"/>
        <w:jc w:val="both"/>
        <w:rPr>
          <w:sz w:val="22"/>
          <w:szCs w:val="22"/>
        </w:rPr>
      </w:pPr>
      <w:bookmarkStart w:id="14" w:name="_Toc106814573"/>
      <w:r>
        <w:rPr>
          <w:sz w:val="22"/>
          <w:szCs w:val="22"/>
        </w:rPr>
        <w:t xml:space="preserve">3. </w:t>
      </w:r>
      <w:r>
        <w:rPr>
          <w:sz w:val="22"/>
          <w:szCs w:val="22"/>
        </w:rPr>
        <w:tab/>
        <w:t>Aplicación de resultados</w:t>
      </w:r>
      <w:bookmarkEnd w:id="14"/>
    </w:p>
    <w:p w14:paraId="2CA31265" w14:textId="77777777" w:rsidR="00853FBE" w:rsidRDefault="00853FBE" w:rsidP="00853FBE">
      <w:pPr>
        <w:pStyle w:val="Textoindependiente"/>
        <w:ind w:firstLine="567"/>
        <w:rPr>
          <w:sz w:val="22"/>
          <w:szCs w:val="22"/>
        </w:rPr>
      </w:pPr>
      <w:r>
        <w:rPr>
          <w:sz w:val="22"/>
          <w:szCs w:val="22"/>
        </w:rPr>
        <w:t>La propuesta de aplicación del resultado por parte de los administradores es la siguiente:</w:t>
      </w:r>
    </w:p>
    <w:bookmarkStart w:id="15" w:name="_MON_1486158675"/>
    <w:bookmarkStart w:id="16" w:name="_MON_1330329080"/>
    <w:bookmarkEnd w:id="15"/>
    <w:bookmarkEnd w:id="16"/>
    <w:bookmarkStart w:id="17" w:name="_MON_1330329165"/>
    <w:bookmarkEnd w:id="17"/>
    <w:p w14:paraId="0705747A" w14:textId="0F9339A5" w:rsidR="00853FBE" w:rsidRDefault="00EB3E71" w:rsidP="00853FBE">
      <w:pPr>
        <w:pStyle w:val="Textoindependiente"/>
        <w:ind w:left="990"/>
      </w:pPr>
      <w:r w:rsidRPr="00EA0F71">
        <w:rPr>
          <w:rFonts w:ascii="Calibri" w:hAnsi="Calibri"/>
          <w:sz w:val="18"/>
          <w:szCs w:val="18"/>
        </w:rPr>
        <w:object w:dxaOrig="7673" w:dyaOrig="4462" w14:anchorId="25726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21.25pt" o:ole="">
            <v:imagedata r:id="rId8" o:title=""/>
          </v:shape>
          <o:OLEObject Type="Embed" ProgID="Excel.Sheet.8" ShapeID="_x0000_i1025" DrawAspect="Content" ObjectID="_1717427606" r:id="rId9"/>
        </w:object>
      </w:r>
    </w:p>
    <w:p w14:paraId="7752203E" w14:textId="77777777" w:rsidR="00853FBE" w:rsidRDefault="00853FBE" w:rsidP="00853FBE">
      <w:pPr>
        <w:pStyle w:val="Textoindependiente"/>
        <w:ind w:left="990"/>
        <w:rPr>
          <w:sz w:val="22"/>
          <w:szCs w:val="22"/>
        </w:rPr>
      </w:pPr>
    </w:p>
    <w:p w14:paraId="24ABE602" w14:textId="77777777" w:rsidR="00853FBE" w:rsidRDefault="00853FBE" w:rsidP="00853FBE">
      <w:pPr>
        <w:pStyle w:val="Textoindependiente"/>
        <w:ind w:firstLine="708"/>
        <w:rPr>
          <w:sz w:val="22"/>
          <w:szCs w:val="22"/>
        </w:rPr>
      </w:pPr>
      <w:r>
        <w:rPr>
          <w:sz w:val="22"/>
          <w:szCs w:val="22"/>
        </w:rPr>
        <w:t>Durante el ejercicio no se repartieron dividendos a cuenta.</w:t>
      </w:r>
    </w:p>
    <w:p w14:paraId="71A39B63" w14:textId="77777777" w:rsidR="00853FBE" w:rsidRDefault="00853FBE" w:rsidP="00853FBE">
      <w:pPr>
        <w:pStyle w:val="Textoindependiente"/>
        <w:ind w:left="708"/>
        <w:rPr>
          <w:sz w:val="22"/>
          <w:szCs w:val="22"/>
        </w:rPr>
      </w:pPr>
      <w:r>
        <w:rPr>
          <w:sz w:val="22"/>
          <w:szCs w:val="22"/>
        </w:rPr>
        <w:t>No existen limitaciones para la distribución de dividendos.</w:t>
      </w:r>
    </w:p>
    <w:p w14:paraId="0937D972" w14:textId="77777777" w:rsidR="00BC0B7F" w:rsidRDefault="00BC0B7F" w:rsidP="00853FBE">
      <w:pPr>
        <w:pStyle w:val="Textoindependiente"/>
        <w:ind w:left="708"/>
        <w:rPr>
          <w:sz w:val="22"/>
          <w:szCs w:val="22"/>
        </w:rPr>
      </w:pPr>
    </w:p>
    <w:p w14:paraId="2C8D1BCD" w14:textId="77777777" w:rsidR="00853FBE" w:rsidRDefault="00853FBE" w:rsidP="00853FBE">
      <w:pPr>
        <w:pStyle w:val="Ttulo1"/>
        <w:spacing w:before="360" w:after="120"/>
        <w:ind w:left="567" w:hanging="567"/>
        <w:jc w:val="both"/>
        <w:rPr>
          <w:sz w:val="22"/>
          <w:szCs w:val="22"/>
        </w:rPr>
      </w:pPr>
      <w:bookmarkStart w:id="18" w:name="_Toc106814574"/>
      <w:r>
        <w:rPr>
          <w:sz w:val="22"/>
          <w:szCs w:val="22"/>
        </w:rPr>
        <w:t xml:space="preserve">4. </w:t>
      </w:r>
      <w:r>
        <w:rPr>
          <w:sz w:val="22"/>
          <w:szCs w:val="22"/>
        </w:rPr>
        <w:tab/>
        <w:t>Normas de registro y valoración</w:t>
      </w:r>
      <w:bookmarkEnd w:id="18"/>
    </w:p>
    <w:p w14:paraId="3C70649C"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3ED0860B" w14:textId="77777777" w:rsidR="00853FBE" w:rsidRDefault="00853FBE" w:rsidP="00853FBE">
      <w:pPr>
        <w:pStyle w:val="Ttulo2"/>
        <w:ind w:left="0"/>
        <w:rPr>
          <w:bCs w:val="0"/>
          <w:iCs/>
          <w:sz w:val="22"/>
          <w:szCs w:val="22"/>
        </w:rPr>
      </w:pPr>
      <w:bookmarkStart w:id="19" w:name="_Toc106814575"/>
      <w:r>
        <w:rPr>
          <w:bCs w:val="0"/>
          <w:iCs/>
          <w:sz w:val="22"/>
          <w:szCs w:val="22"/>
        </w:rPr>
        <w:t>4.1. Inmovilizado intangible.</w:t>
      </w:r>
      <w:bookmarkEnd w:id="19"/>
    </w:p>
    <w:p w14:paraId="60B337E0" w14:textId="77777777" w:rsidR="00853FBE" w:rsidRDefault="00853FBE" w:rsidP="00853FBE">
      <w:pPr>
        <w:pStyle w:val="Textoindependiente"/>
        <w:ind w:firstLine="708"/>
        <w:rPr>
          <w:sz w:val="22"/>
          <w:szCs w:val="22"/>
        </w:rPr>
      </w:pPr>
      <w:r>
        <w:rPr>
          <w:sz w:val="22"/>
          <w:szCs w:val="22"/>
        </w:rPr>
        <w:t xml:space="preserve">El inmovilizado intangible se valora inicialmente por su coste, ya sea éste el precio de adquisición o el coste de producción. El coste del inmovilizado intangible adquirido mediante combinaciones de negocios es su valor razonable en la fecha de adquisición. </w:t>
      </w:r>
    </w:p>
    <w:p w14:paraId="56736B15" w14:textId="77777777" w:rsidR="00853FBE" w:rsidRDefault="00853FBE" w:rsidP="00853FBE">
      <w:pPr>
        <w:pStyle w:val="Textoindependiente"/>
        <w:ind w:firstLine="708"/>
        <w:rPr>
          <w:sz w:val="22"/>
          <w:szCs w:val="22"/>
        </w:rPr>
      </w:pPr>
      <w:r>
        <w:rPr>
          <w:sz w:val="22"/>
          <w:szCs w:val="22"/>
        </w:rPr>
        <w:t>Después del reconocimiento inicial, el inmovilizado intangible se valora por su coste, menos la amortización acumulada y, en su caso, el importe acumulado de las correcciones por deterioro registradas.</w:t>
      </w:r>
    </w:p>
    <w:p w14:paraId="3ED04BF3" w14:textId="765FFA61" w:rsidR="00853FBE" w:rsidRDefault="00853FBE" w:rsidP="00853FBE">
      <w:pPr>
        <w:pStyle w:val="Textoindependiente"/>
        <w:ind w:firstLine="708"/>
        <w:rPr>
          <w:sz w:val="22"/>
          <w:szCs w:val="22"/>
        </w:rPr>
      </w:pPr>
      <w:r>
        <w:rPr>
          <w:sz w:val="22"/>
          <w:szCs w:val="22"/>
        </w:rPr>
        <w:t xml:space="preserve">Los activos intangibles </w:t>
      </w:r>
      <w:r w:rsidR="00BC0B7F">
        <w:rPr>
          <w:sz w:val="22"/>
          <w:szCs w:val="22"/>
        </w:rPr>
        <w:t>son activos de</w:t>
      </w:r>
      <w:r>
        <w:rPr>
          <w:sz w:val="22"/>
          <w:szCs w:val="22"/>
        </w:rPr>
        <w:t xml:space="preserve"> vida útil definida</w:t>
      </w:r>
      <w:r w:rsidR="00BC0B7F">
        <w:rPr>
          <w:sz w:val="22"/>
          <w:szCs w:val="22"/>
        </w:rPr>
        <w:t xml:space="preserve"> y, por lo tanto,</w:t>
      </w:r>
      <w:r>
        <w:rPr>
          <w:sz w:val="22"/>
          <w:szCs w:val="22"/>
        </w:rPr>
        <w:t xml:space="preserve"> se amortizan sistemáticamente en función de la vida útil estimada de los mismos y de su valor residual. Los métodos y periodos de amortización aplicados son revisados en cada </w:t>
      </w:r>
      <w:r>
        <w:rPr>
          <w:sz w:val="22"/>
          <w:szCs w:val="22"/>
        </w:rPr>
        <w:lastRenderedPageBreak/>
        <w:t>cierre de ejercicio y, si procede, ajustados de forma prospectiva. Al menos al cierre del ejercicio, se evalúa la existencia de indicios de deterioro, en cuyo caso se estiman los importes recuperables, efectuándose las correcciones valorativas que procedan.</w:t>
      </w:r>
    </w:p>
    <w:p w14:paraId="57FE8FDA" w14:textId="77777777" w:rsidR="00853FBE" w:rsidRDefault="00853FBE" w:rsidP="00853FBE">
      <w:pPr>
        <w:pStyle w:val="Textoindependiente"/>
        <w:ind w:firstLine="708"/>
        <w:rPr>
          <w:sz w:val="22"/>
          <w:szCs w:val="22"/>
        </w:rPr>
      </w:pPr>
      <w:r>
        <w:rPr>
          <w:sz w:val="22"/>
          <w:szCs w:val="22"/>
        </w:rPr>
        <w:t>En el presente ejercicio no se han reconocido “Pérdidas netas por deterioro” derivadas de los activos intangibles.</w:t>
      </w:r>
    </w:p>
    <w:p w14:paraId="779AF6D7" w14:textId="77777777" w:rsidR="00853FBE" w:rsidRDefault="00853FBE" w:rsidP="00853FBE">
      <w:pPr>
        <w:pStyle w:val="Textoindependiente"/>
        <w:ind w:firstLine="708"/>
        <w:rPr>
          <w:sz w:val="22"/>
          <w:szCs w:val="22"/>
        </w:rPr>
      </w:pPr>
      <w:r>
        <w:rPr>
          <w:sz w:val="22"/>
          <w:szCs w:val="22"/>
        </w:rPr>
        <w:t>La Sociedad incluye en el coste del inmovilizado intangible que necesita un periodo de tiempo superior a un año para estar en condiciones de uso, explotación o venta, los gastos financieros relacionados con la financiación específica o genérica, directamente atribuible a la adquisición, construcción o producción.</w:t>
      </w:r>
    </w:p>
    <w:p w14:paraId="0EFC7DA9" w14:textId="77777777" w:rsidR="00853FBE" w:rsidRDefault="00853FBE" w:rsidP="00853FBE">
      <w:pPr>
        <w:pStyle w:val="Textoindependiente"/>
        <w:rPr>
          <w:sz w:val="22"/>
          <w:szCs w:val="22"/>
        </w:rPr>
      </w:pPr>
    </w:p>
    <w:p w14:paraId="076D7113" w14:textId="77777777" w:rsidR="00853FBE" w:rsidRDefault="00853FBE" w:rsidP="00853FBE">
      <w:pPr>
        <w:pStyle w:val="Textoindependiente"/>
        <w:ind w:left="708"/>
        <w:rPr>
          <w:sz w:val="22"/>
          <w:szCs w:val="22"/>
        </w:rPr>
      </w:pPr>
      <w:r>
        <w:rPr>
          <w:sz w:val="22"/>
          <w:szCs w:val="22"/>
        </w:rPr>
        <w:t>a) Aplicaciones informáticas</w:t>
      </w:r>
    </w:p>
    <w:p w14:paraId="0C978D9E" w14:textId="77777777" w:rsidR="00853FBE" w:rsidRDefault="00853FBE" w:rsidP="00853FBE">
      <w:pPr>
        <w:pStyle w:val="Textoindependiente"/>
        <w:ind w:firstLine="708"/>
        <w:rPr>
          <w:sz w:val="22"/>
          <w:szCs w:val="22"/>
        </w:rPr>
      </w:pPr>
      <w:r>
        <w:rPr>
          <w:sz w:val="22"/>
          <w:szCs w:val="22"/>
        </w:rPr>
        <w:t xml:space="preserve">Se valoran al precio de adquisición o coste de producción, incluyéndose en este epígrafe los gastos de desarrollo de las páginas web </w:t>
      </w:r>
      <w:r w:rsidRPr="0057534D">
        <w:rPr>
          <w:i/>
          <w:sz w:val="22"/>
          <w:szCs w:val="22"/>
        </w:rPr>
        <w:t>(siempre que esté prevista su utilización durante varios años)</w:t>
      </w:r>
      <w:r>
        <w:rPr>
          <w:sz w:val="22"/>
          <w:szCs w:val="22"/>
        </w:rPr>
        <w:t>. La vida útil de estos elementos se estima en 4 años.</w:t>
      </w:r>
    </w:p>
    <w:p w14:paraId="2D20A437" w14:textId="77777777" w:rsidR="00853FBE" w:rsidRDefault="00853FBE" w:rsidP="00853FBE">
      <w:pPr>
        <w:pStyle w:val="Textoindependiente"/>
        <w:ind w:firstLine="708"/>
        <w:rPr>
          <w:sz w:val="22"/>
          <w:szCs w:val="22"/>
        </w:rPr>
      </w:pPr>
      <w:r>
        <w:rPr>
          <w:sz w:val="22"/>
          <w:szCs w:val="22"/>
        </w:rPr>
        <w:t>Las reparaciones que no representan una ampliación de la vida útil y los costes de mantenimiento son cargados en la cuenta de pérdidas y ganancias en el ejercicio en que se producen.</w:t>
      </w:r>
    </w:p>
    <w:p w14:paraId="5848A633" w14:textId="77777777" w:rsidR="00853FBE" w:rsidRDefault="00853FBE" w:rsidP="00853FBE">
      <w:pPr>
        <w:pStyle w:val="Textoindependiente"/>
        <w:rPr>
          <w:sz w:val="22"/>
          <w:szCs w:val="22"/>
        </w:rPr>
      </w:pPr>
    </w:p>
    <w:p w14:paraId="761CD2A8" w14:textId="77777777" w:rsidR="00853FBE" w:rsidRDefault="00853FBE" w:rsidP="00853FBE">
      <w:pPr>
        <w:pStyle w:val="Textoindependiente"/>
        <w:ind w:left="708"/>
        <w:rPr>
          <w:sz w:val="22"/>
          <w:szCs w:val="22"/>
        </w:rPr>
      </w:pPr>
      <w:r>
        <w:rPr>
          <w:sz w:val="22"/>
          <w:szCs w:val="22"/>
        </w:rPr>
        <w:t>b) Deterioro de valor de inmovilizado intangible</w:t>
      </w:r>
    </w:p>
    <w:p w14:paraId="4ACA78F5" w14:textId="77777777" w:rsidR="00853FBE" w:rsidRDefault="00853FBE" w:rsidP="00853FBE">
      <w:pPr>
        <w:pStyle w:val="Textoindependiente"/>
        <w:ind w:firstLine="708"/>
        <w:rPr>
          <w:sz w:val="22"/>
          <w:szCs w:val="22"/>
        </w:rPr>
      </w:pPr>
      <w:r>
        <w:rPr>
          <w:sz w:val="22"/>
          <w:szCs w:val="22"/>
        </w:rPr>
        <w:t>Al cierre del ejercicio o siempre que existan indicios de pérdidas de valor, la Sociedad revisa los importes en libros de sus activos intangibles para determinar si existen indicios de que dichos activos hayan sufrido una pérdida por deterioro de valor. Si existe cualquier indicio, el importe recuperable del activo se calcula con el objeto de determinar el alcance de la pérdida por deterioro de valor (si la hubiera). En caso de que el activo no genere flujos de efectivo por sí mismo que sean independientes de otros activos, la Sociedad calculará el importe recuperable de la unidad generadora de efectivo a la que pertenece el activo.</w:t>
      </w:r>
    </w:p>
    <w:p w14:paraId="548F27A5" w14:textId="77777777" w:rsidR="00853FBE" w:rsidRDefault="00853FBE" w:rsidP="00853FBE">
      <w:pPr>
        <w:pStyle w:val="Textoindependiente"/>
        <w:ind w:firstLine="708"/>
        <w:rPr>
          <w:sz w:val="22"/>
          <w:szCs w:val="22"/>
        </w:rPr>
      </w:pPr>
      <w:r>
        <w:rPr>
          <w:sz w:val="22"/>
          <w:szCs w:val="22"/>
        </w:rPr>
        <w:t>El importe recuperable es el valor superior entre el valor razonable menos el coste de venta y el valor en uso.</w:t>
      </w:r>
    </w:p>
    <w:p w14:paraId="12F0BA36" w14:textId="77777777" w:rsidR="00853FBE" w:rsidRDefault="00853FBE" w:rsidP="00853FBE">
      <w:pPr>
        <w:pStyle w:val="Ttulo2"/>
        <w:ind w:left="0"/>
        <w:rPr>
          <w:bCs w:val="0"/>
          <w:iCs/>
          <w:sz w:val="22"/>
          <w:szCs w:val="22"/>
        </w:rPr>
      </w:pPr>
    </w:p>
    <w:p w14:paraId="38247838" w14:textId="77777777" w:rsidR="00853FBE" w:rsidRDefault="00853FBE" w:rsidP="00853FBE">
      <w:pPr>
        <w:pStyle w:val="Ttulo2"/>
        <w:ind w:left="0"/>
        <w:rPr>
          <w:bCs w:val="0"/>
          <w:iCs/>
          <w:sz w:val="22"/>
          <w:szCs w:val="22"/>
        </w:rPr>
      </w:pPr>
      <w:bookmarkStart w:id="20" w:name="_Toc106814576"/>
      <w:r>
        <w:rPr>
          <w:bCs w:val="0"/>
          <w:iCs/>
          <w:sz w:val="22"/>
          <w:szCs w:val="22"/>
        </w:rPr>
        <w:t>4.2. Inmovilizado material.</w:t>
      </w:r>
      <w:bookmarkEnd w:id="20"/>
    </w:p>
    <w:p w14:paraId="6A24C493" w14:textId="77777777" w:rsidR="00853FBE" w:rsidRDefault="00853FBE" w:rsidP="00853FBE">
      <w:pPr>
        <w:pStyle w:val="Textoindependiente"/>
        <w:ind w:firstLine="708"/>
        <w:rPr>
          <w:sz w:val="22"/>
          <w:szCs w:val="22"/>
        </w:rPr>
      </w:pPr>
      <w:r>
        <w:rPr>
          <w:sz w:val="22"/>
          <w:szCs w:val="22"/>
        </w:rPr>
        <w:t>Se valora a su precio de adquisición o a su coste de producción que incluye, además del importe facturado después de deducir cualquier descuento o rebaja en el precio, todos los gastos adicionales y directamente relacionados que se produzcan hasta su puesta en funcionamiento, como los gastos de explanación y derribo, transporte, seguros, instalación, montaje y otros similares. La Sociedad incluye en el coste del inmovilizado material que necesita un periodo de tiempo superior a un año para estar en condiciones de uso, explotación o venta, los gastos financieros relacionados con la financiación específica o genérica, directamente atribuible a la adquisición, construcción o producción. Forma parte, también, del valor del inmovilizado material, la estimación inicial del valor actual de las obligaciones asumidas derivadas del desmantelamiento o retiro y otras asociadas al activo, tales como costes de rehabilitación, cuando estas obligaciones dan lugar al registro de provisiones, a</w:t>
      </w:r>
      <w:r w:rsidRPr="0057534D">
        <w:rPr>
          <w:sz w:val="22"/>
          <w:szCs w:val="22"/>
        </w:rPr>
        <w:t xml:space="preserve">sí como la mejor estimación del valor actual del importe contingente, no obstante, los pagos </w:t>
      </w:r>
      <w:r w:rsidRPr="0057534D">
        <w:rPr>
          <w:sz w:val="22"/>
          <w:szCs w:val="22"/>
        </w:rPr>
        <w:lastRenderedPageBreak/>
        <w:t>contingentes que dependan de magnitudes relacionadas con el desarrollo de la actividad, se contabilizan como un gasto en la cuenta de pérdidas y ganancias a medida en que se incurran.</w:t>
      </w:r>
    </w:p>
    <w:p w14:paraId="1F961924" w14:textId="77777777" w:rsidR="00853FBE" w:rsidRDefault="00853FBE" w:rsidP="00853FBE">
      <w:pPr>
        <w:pStyle w:val="Textoindependiente"/>
        <w:ind w:firstLine="708"/>
        <w:rPr>
          <w:sz w:val="22"/>
          <w:szCs w:val="22"/>
        </w:rPr>
      </w:pPr>
      <w:r w:rsidRPr="0057534D">
        <w:rPr>
          <w:sz w:val="22"/>
          <w:szCs w:val="22"/>
        </w:rPr>
        <w:t xml:space="preserve">Las cantidades entregadas a cuenta de adquisiciones futuras de bienes del inmovilizado material, se registran en el activo y los ajustes que surjan por la actualización del valor del activo asociado al anticipo dan lugar al reconocimiento de ingresos financieros, conforme se devenguen. A tal efecto se utiliza el tipo de interés incremental del proveedor existente en el momento inicial, es decir, el tipo de interés al que el proveedor podría financiarse en condiciones equivalentes a las que resultan del importe recibido, que no será objeto de modificación en posteriores ejercicios. Cuando se trate de anticipos con vencimiento no superior a un año y cuyo efecto financiero no sea significativo, no será necesario llevar a cabo ningún tipo de actualización. </w:t>
      </w:r>
    </w:p>
    <w:p w14:paraId="5C4F3678" w14:textId="77777777" w:rsidR="00853FBE" w:rsidRDefault="00853FBE" w:rsidP="00853FBE">
      <w:pPr>
        <w:pStyle w:val="Textoindependiente"/>
        <w:ind w:firstLine="708"/>
        <w:rPr>
          <w:sz w:val="22"/>
          <w:szCs w:val="22"/>
        </w:rPr>
      </w:pPr>
      <w:r>
        <w:rPr>
          <w:sz w:val="22"/>
          <w:szCs w:val="22"/>
        </w:rPr>
        <w:t xml:space="preserve">La Sociedad no tiene compromisos de desmantelamiento, retiro o rehabilitación para sus bienes de activo. Por ello no se han contabilizado en los activos valores para la cobertura de tales obligaciones de futuro. </w:t>
      </w:r>
    </w:p>
    <w:p w14:paraId="65E982DE" w14:textId="77777777" w:rsidR="00853FBE" w:rsidRPr="0057534D" w:rsidRDefault="00853FBE" w:rsidP="00853FBE">
      <w:pPr>
        <w:pStyle w:val="Textoindependiente"/>
        <w:ind w:firstLine="708"/>
        <w:rPr>
          <w:sz w:val="22"/>
          <w:szCs w:val="22"/>
        </w:rPr>
      </w:pPr>
      <w:r w:rsidRPr="0057534D">
        <w:rPr>
          <w:sz w:val="22"/>
          <w:szCs w:val="22"/>
        </w:rPr>
        <w:t>Después del reconocimiento inicial, se contabiliza la reversión del descuento financiero asociado a la provisión en la cuenta de pérdidas y ganancias y se ajusta el valor del pasivo de acuerdo con el tipo de interés aplicado en el reconocimiento inicial, o en la fecha de la última revisión. Por su parte, la valoración inicial del inmovilizado material podrá verse alterada por cambios en estimaciones contables que modifiquen el importe de la provisión asociada a los costes de desmantelamiento y rehabilitación, una vez reconocida la reversión del descuento, y que podrán venir motivados por:</w:t>
      </w:r>
    </w:p>
    <w:p w14:paraId="4A4E605B" w14:textId="77777777" w:rsidR="00853FBE" w:rsidRPr="00746063" w:rsidRDefault="00853FBE" w:rsidP="00853FBE">
      <w:pPr>
        <w:pStyle w:val="Textoindependiente"/>
        <w:ind w:left="990"/>
        <w:rPr>
          <w:rFonts w:ascii="Calibri" w:hAnsi="Calibri"/>
          <w:color w:val="4A3031"/>
        </w:rPr>
      </w:pPr>
    </w:p>
    <w:p w14:paraId="3BD35781" w14:textId="77777777" w:rsidR="00853FBE" w:rsidRPr="0057534D" w:rsidRDefault="00853FBE" w:rsidP="00853FBE">
      <w:pPr>
        <w:pStyle w:val="Textoindependiente"/>
        <w:numPr>
          <w:ilvl w:val="1"/>
          <w:numId w:val="41"/>
        </w:numPr>
        <w:rPr>
          <w:sz w:val="22"/>
          <w:szCs w:val="22"/>
        </w:rPr>
      </w:pPr>
      <w:r w:rsidRPr="0057534D">
        <w:rPr>
          <w:sz w:val="22"/>
          <w:szCs w:val="22"/>
        </w:rPr>
        <w:t xml:space="preserve">Un cambio en el calendario o en el importe de los flujos de efectivo estimados para cancelar la obligación asociada al desmantelamiento o la rehabilitación. </w:t>
      </w:r>
    </w:p>
    <w:p w14:paraId="35D0BE8A" w14:textId="77777777" w:rsidR="00853FBE" w:rsidRPr="0057534D" w:rsidRDefault="00853FBE" w:rsidP="00853FBE">
      <w:pPr>
        <w:pStyle w:val="Textoindependiente"/>
        <w:numPr>
          <w:ilvl w:val="1"/>
          <w:numId w:val="41"/>
        </w:numPr>
        <w:rPr>
          <w:sz w:val="22"/>
          <w:szCs w:val="22"/>
        </w:rPr>
      </w:pPr>
      <w:r w:rsidRPr="0057534D">
        <w:rPr>
          <w:sz w:val="22"/>
          <w:szCs w:val="22"/>
        </w:rPr>
        <w:t xml:space="preserve">El tipo de descuento empleado por la Sociedad para la determinación del valor actual de la provisión que, en principio, es el tipo de interés libre de riesgo, salvo que al estimar los flujos de efectivo no se hubiera tenido en cuenta el riesgo asociado al cumplimiento de la obligación. </w:t>
      </w:r>
    </w:p>
    <w:p w14:paraId="242A8356" w14:textId="77777777" w:rsidR="00853FBE" w:rsidRDefault="00853FBE" w:rsidP="00853FBE">
      <w:pPr>
        <w:pStyle w:val="Textoindependiente"/>
        <w:ind w:firstLine="708"/>
        <w:rPr>
          <w:sz w:val="22"/>
          <w:szCs w:val="22"/>
        </w:rPr>
      </w:pPr>
    </w:p>
    <w:p w14:paraId="0DFD2D7F" w14:textId="77777777" w:rsidR="00853FBE" w:rsidRDefault="00853FBE" w:rsidP="00853FBE">
      <w:pPr>
        <w:pStyle w:val="Textoindependiente"/>
        <w:ind w:firstLine="550"/>
        <w:rPr>
          <w:sz w:val="22"/>
          <w:szCs w:val="22"/>
        </w:rPr>
      </w:pPr>
      <w:r>
        <w:rPr>
          <w:sz w:val="22"/>
          <w:szCs w:val="22"/>
        </w:rPr>
        <w:t>La Administradora de la Sociedad considera que el valor contable de los activos no supera el valor recuperable de los mismos.</w:t>
      </w:r>
    </w:p>
    <w:p w14:paraId="44C71DE7" w14:textId="77777777" w:rsidR="00853FBE" w:rsidRDefault="00853FBE" w:rsidP="00853FBE">
      <w:pPr>
        <w:pStyle w:val="Textoindependiente"/>
        <w:ind w:firstLine="550"/>
        <w:rPr>
          <w:sz w:val="22"/>
          <w:szCs w:val="22"/>
        </w:rPr>
      </w:pPr>
      <w:r>
        <w:rPr>
          <w:sz w:val="22"/>
          <w:szCs w:val="22"/>
        </w:rPr>
        <w:t>Se registra la pérdida por deterioro del valor de un elemento del inmovilizado material cuando su valor neto contable supere a su importe recuperable, entendiendo éste como el mayor importe entre su valor razonable menos los costes de venta y su valor en uso.</w:t>
      </w:r>
    </w:p>
    <w:p w14:paraId="25D30CAC" w14:textId="77777777" w:rsidR="00853FBE" w:rsidRDefault="00853FBE" w:rsidP="00853FBE">
      <w:pPr>
        <w:pStyle w:val="Textoindependiente"/>
        <w:ind w:firstLine="550"/>
        <w:rPr>
          <w:sz w:val="22"/>
          <w:szCs w:val="22"/>
        </w:rPr>
      </w:pPr>
      <w:r>
        <w:rPr>
          <w:sz w:val="22"/>
          <w:szCs w:val="22"/>
        </w:rPr>
        <w:t>Los gastos realizados durante el ejercicio con motivo de las obras y trabajos efectuados por la Sociedad, se cargarán en las cuentas de gastos que correspondan. Los costes de ampliación o mejora que dan lugar a un aumento de la capacidad productiva o a un alargamiento de la vida útil de los bienes, son incorporados al activo como mayor valor del mismo. Las cuentas del inmovilizado material en curso, se cargan por el importe de dichos gastos, con abono a la partida de ingresos que recoge los trabajos realizados por la Sociedad para sí misma.</w:t>
      </w:r>
    </w:p>
    <w:p w14:paraId="2C99EF96" w14:textId="77777777" w:rsidR="00853FBE" w:rsidRDefault="00853FBE" w:rsidP="00853FBE">
      <w:pPr>
        <w:pStyle w:val="Textoindependiente"/>
        <w:ind w:firstLine="550"/>
        <w:rPr>
          <w:sz w:val="22"/>
          <w:szCs w:val="22"/>
        </w:rPr>
      </w:pPr>
      <w:r>
        <w:rPr>
          <w:sz w:val="22"/>
          <w:szCs w:val="22"/>
        </w:rPr>
        <w:t xml:space="preserve">Los costes relacionados con grandes reparaciones de los elementos del inmovilizado material se reconoce como sustitución en el momento en que se incurren </w:t>
      </w:r>
      <w:r>
        <w:rPr>
          <w:sz w:val="22"/>
          <w:szCs w:val="22"/>
        </w:rPr>
        <w:lastRenderedPageBreak/>
        <w:t>y se amortizan durante el periodo que medie hasta la siguiente reparación, dando de baja cualquier importe asociado a la reparación que pudiera permanecer en el valor contable del citado inmovilizado.</w:t>
      </w:r>
    </w:p>
    <w:p w14:paraId="288923D0" w14:textId="77777777" w:rsidR="00853FBE" w:rsidRDefault="00853FBE" w:rsidP="00853FBE">
      <w:pPr>
        <w:pStyle w:val="Textoindependiente"/>
        <w:ind w:firstLine="550"/>
        <w:rPr>
          <w:sz w:val="22"/>
          <w:szCs w:val="22"/>
        </w:rPr>
      </w:pPr>
      <w:r>
        <w:rPr>
          <w:sz w:val="22"/>
          <w:szCs w:val="22"/>
        </w:rPr>
        <w:t>En los arrendamientos operativos se contabiliza el activo de acuerdo con su naturaleza, y un pasivo financiero por el mismo importe, que es el menor entre el valor razonable del activo arrendado y el valor actual al inicio del arrendamiento de los pagos mínimos acordados.</w:t>
      </w:r>
    </w:p>
    <w:p w14:paraId="302F9FA1" w14:textId="77777777" w:rsidR="00853FBE" w:rsidRDefault="00853FBE" w:rsidP="00853FBE">
      <w:pPr>
        <w:pStyle w:val="Textoindependiente"/>
        <w:ind w:firstLine="550"/>
        <w:rPr>
          <w:sz w:val="22"/>
          <w:szCs w:val="22"/>
        </w:rPr>
      </w:pPr>
      <w:r>
        <w:rPr>
          <w:sz w:val="22"/>
          <w:szCs w:val="22"/>
        </w:rP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p w14:paraId="2E0BBEC1" w14:textId="77777777" w:rsidR="00853FBE" w:rsidRDefault="00853FBE" w:rsidP="00853FBE">
      <w:pPr>
        <w:pStyle w:val="Textoindependiente"/>
        <w:ind w:firstLine="550"/>
        <w:rPr>
          <w:sz w:val="22"/>
          <w:szCs w:val="22"/>
        </w:rPr>
      </w:pPr>
    </w:p>
    <w:p w14:paraId="13A1AEBC" w14:textId="7BDB8047" w:rsidR="00853FBE" w:rsidRDefault="00D128AC" w:rsidP="00853FBE">
      <w:pPr>
        <w:pStyle w:val="Textoindependiente"/>
        <w:ind w:left="990"/>
        <w:rPr>
          <w:sz w:val="22"/>
          <w:szCs w:val="22"/>
        </w:rPr>
      </w:pPr>
      <w:r>
        <w:rPr>
          <w:noProof/>
          <w:sz w:val="22"/>
          <w:szCs w:val="22"/>
        </w:rPr>
        <w:drawing>
          <wp:inline distT="0" distB="0" distL="0" distR="0" wp14:anchorId="67C02452" wp14:editId="1259032D">
            <wp:extent cx="4267200" cy="179070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1790700"/>
                    </a:xfrm>
                    <a:prstGeom prst="rect">
                      <a:avLst/>
                    </a:prstGeom>
                    <a:noFill/>
                    <a:ln>
                      <a:noFill/>
                    </a:ln>
                  </pic:spPr>
                </pic:pic>
              </a:graphicData>
            </a:graphic>
          </wp:inline>
        </w:drawing>
      </w:r>
    </w:p>
    <w:p w14:paraId="3CB913C0" w14:textId="77777777" w:rsidR="00853FBE" w:rsidRDefault="00853FBE" w:rsidP="00853FBE">
      <w:pPr>
        <w:pStyle w:val="Textoindependiente"/>
        <w:ind w:left="990"/>
        <w:rPr>
          <w:sz w:val="22"/>
          <w:szCs w:val="22"/>
        </w:rPr>
      </w:pPr>
    </w:p>
    <w:p w14:paraId="23378218" w14:textId="77777777" w:rsidR="00853FBE" w:rsidRDefault="00853FBE" w:rsidP="00853FBE">
      <w:pPr>
        <w:pStyle w:val="Ttulo2"/>
        <w:ind w:left="0"/>
        <w:rPr>
          <w:bCs w:val="0"/>
          <w:iCs/>
          <w:sz w:val="22"/>
          <w:szCs w:val="22"/>
        </w:rPr>
      </w:pPr>
      <w:bookmarkStart w:id="21" w:name="_Toc106814577"/>
      <w:r>
        <w:rPr>
          <w:bCs w:val="0"/>
          <w:iCs/>
          <w:sz w:val="22"/>
          <w:szCs w:val="22"/>
        </w:rPr>
        <w:t>4.3. Inversiones Inmobiliarias.</w:t>
      </w:r>
      <w:bookmarkEnd w:id="21"/>
    </w:p>
    <w:p w14:paraId="2386A84A" w14:textId="77777777" w:rsidR="00853FBE" w:rsidRDefault="00853FBE" w:rsidP="00853FBE">
      <w:pPr>
        <w:pStyle w:val="Textoindependiente"/>
        <w:ind w:firstLine="550"/>
        <w:rPr>
          <w:sz w:val="22"/>
          <w:szCs w:val="22"/>
        </w:rPr>
      </w:pPr>
      <w:r>
        <w:rPr>
          <w:sz w:val="22"/>
          <w:szCs w:val="22"/>
        </w:rPr>
        <w:t>La Sociedad clasifica como inversiones inmobiliarias aquellos activos no corrientes que sean inmuebles y que posee para obtener rentas, plusvalías o ambas, en lugar de para su uso en la producción o suministros de bienes o servicios, o bien para fines administrativos, o su venta en el curso ordinario de las operaciones, a</w:t>
      </w:r>
      <w:r w:rsidRPr="0057534D">
        <w:rPr>
          <w:sz w:val="22"/>
          <w:szCs w:val="22"/>
        </w:rPr>
        <w:t>sí como aquellos terrenos y edificios cuyos usos futuros no estén determinados en el momento de su incorporación al patrimonio de la Sociedad.</w:t>
      </w:r>
    </w:p>
    <w:p w14:paraId="7FF2E2FD" w14:textId="77777777" w:rsidR="00853FBE" w:rsidRDefault="00853FBE" w:rsidP="00853FBE">
      <w:pPr>
        <w:pStyle w:val="Textoindependiente"/>
        <w:ind w:firstLine="550"/>
        <w:rPr>
          <w:sz w:val="22"/>
          <w:szCs w:val="22"/>
        </w:rPr>
      </w:pPr>
      <w:r>
        <w:rPr>
          <w:sz w:val="22"/>
          <w:szCs w:val="22"/>
        </w:rPr>
        <w:t>Para la valoración de las inversiones inmobiliarias se utiliza los criterios del inmovilizado material para los terrenos y construcciones, siendo los siguientes:</w:t>
      </w:r>
    </w:p>
    <w:p w14:paraId="23FB0863" w14:textId="77777777" w:rsidR="00853FBE" w:rsidRDefault="00853FBE" w:rsidP="00853FBE">
      <w:pPr>
        <w:pStyle w:val="Textoindependiente"/>
        <w:numPr>
          <w:ilvl w:val="1"/>
          <w:numId w:val="1"/>
        </w:numPr>
        <w:rPr>
          <w:sz w:val="22"/>
          <w:szCs w:val="22"/>
        </w:rPr>
      </w:pPr>
      <w:r>
        <w:rPr>
          <w:sz w:val="22"/>
          <w:szCs w:val="22"/>
        </w:rPr>
        <w:t>Los solares sin edificar se valoran por su precio de adquisición más los gastos de acondicionamiento, como cierres, movimiento de tierras, obras de saneamiento y drenaje, los de derribo de construcciones cuando sea necesario para poder efectuar obras de nueva planta, los gastos de inspección y levantamiento de planos cuando se efectúan con carácter previo a su adquisición, así como, la estimación inicial del valor actual de las obligaciones presentes derivadas de los costes de rehabilitación del solar.</w:t>
      </w:r>
    </w:p>
    <w:p w14:paraId="707D76D5" w14:textId="77777777" w:rsidR="00853FBE" w:rsidRDefault="00853FBE" w:rsidP="00853FBE">
      <w:pPr>
        <w:pStyle w:val="Textoindependiente"/>
        <w:numPr>
          <w:ilvl w:val="1"/>
          <w:numId w:val="1"/>
        </w:numPr>
        <w:rPr>
          <w:sz w:val="22"/>
          <w:szCs w:val="22"/>
        </w:rPr>
      </w:pPr>
      <w:r>
        <w:rPr>
          <w:sz w:val="22"/>
          <w:szCs w:val="22"/>
        </w:rPr>
        <w:t>Las construcciones se valoran por su precio de adquisición o coste de producción incluidas aquellas instalaciones y elementos que tienen carácter de permanencia, por las tasas inherentes a la construcción y los honorarios facultativos de proyecto y dirección de obra</w:t>
      </w:r>
    </w:p>
    <w:p w14:paraId="1844C46A" w14:textId="77777777" w:rsidR="00853FBE" w:rsidRDefault="00853FBE" w:rsidP="00853FBE">
      <w:pPr>
        <w:pStyle w:val="Textoindependiente"/>
        <w:ind w:left="990"/>
        <w:rPr>
          <w:sz w:val="22"/>
          <w:szCs w:val="22"/>
        </w:rPr>
      </w:pPr>
    </w:p>
    <w:p w14:paraId="212FD3E0" w14:textId="77777777" w:rsidR="00853FBE" w:rsidRDefault="00853FBE" w:rsidP="00853FBE">
      <w:pPr>
        <w:pStyle w:val="Ttulo2"/>
        <w:ind w:left="0"/>
        <w:rPr>
          <w:bCs w:val="0"/>
          <w:iCs/>
          <w:sz w:val="22"/>
          <w:szCs w:val="22"/>
        </w:rPr>
      </w:pPr>
      <w:bookmarkStart w:id="22" w:name="_Toc106814578"/>
      <w:r>
        <w:rPr>
          <w:bCs w:val="0"/>
          <w:iCs/>
          <w:sz w:val="22"/>
          <w:szCs w:val="22"/>
        </w:rPr>
        <w:lastRenderedPageBreak/>
        <w:t>4.4. Arrendamientos.</w:t>
      </w:r>
      <w:bookmarkEnd w:id="22"/>
    </w:p>
    <w:p w14:paraId="42E00926" w14:textId="77777777" w:rsidR="00853FBE" w:rsidRDefault="00853FBE" w:rsidP="00853FBE">
      <w:pPr>
        <w:pStyle w:val="Textoindependiente"/>
        <w:ind w:firstLine="708"/>
        <w:rPr>
          <w:sz w:val="22"/>
          <w:szCs w:val="22"/>
        </w:rPr>
      </w:pPr>
      <w:r>
        <w:rPr>
          <w:sz w:val="22"/>
          <w:szCs w:val="22"/>
        </w:rPr>
        <w:t>Los activos arrendados a terceros bajo contratos de arrendamiento operativo se presentan de acuerdo a la naturaleza de los mismos resultando de aplicación los principios contables que se desarrollan en los apartados de inmovilizado material e inmaterial. Los ingresos procedentes de los arrendamientos operativos, netos de los incentivos concedidos, se reconocen como ingresos de forma lineal a lo largo del plazo de arrendamiento, salvo que resulte más representativa otra base sistemática de reparto por reflejar más adecuadamente el patrón temporal de consumo de los beneficios derivados del uso del activo arrendado.</w:t>
      </w:r>
    </w:p>
    <w:p w14:paraId="27CBC94D" w14:textId="77777777" w:rsidR="00853FBE" w:rsidRDefault="00853FBE" w:rsidP="00853FBE">
      <w:pPr>
        <w:pStyle w:val="Textoindependiente"/>
        <w:ind w:firstLine="708"/>
        <w:rPr>
          <w:sz w:val="22"/>
          <w:szCs w:val="22"/>
        </w:rPr>
      </w:pPr>
      <w:r>
        <w:rPr>
          <w:sz w:val="22"/>
          <w:szCs w:val="22"/>
        </w:rPr>
        <w:t>En las operaciones de arrendamiento operativo, la propiedad del bien arrendado y sustancialmente todos los riesgos y ventajas que recaen sobre el bien, permanecen en el arrendador.</w:t>
      </w:r>
    </w:p>
    <w:p w14:paraId="4FF66849" w14:textId="77777777" w:rsidR="00853FBE" w:rsidRDefault="00853FBE" w:rsidP="00853FBE">
      <w:pPr>
        <w:pStyle w:val="Textoindependiente"/>
        <w:ind w:firstLine="708"/>
        <w:rPr>
          <w:sz w:val="22"/>
          <w:szCs w:val="22"/>
        </w:rPr>
      </w:pPr>
      <w:r>
        <w:rPr>
          <w:sz w:val="22"/>
          <w:szCs w:val="22"/>
        </w:rPr>
        <w:t>Cuando la Sociedad actúa como arrendatario, los gastos del arrendamiento se cargan linealmente a la cuenta de pérdidas y ganancias en función de los acuerdos y de la vida del contrato.</w:t>
      </w:r>
    </w:p>
    <w:p w14:paraId="3B0BA624" w14:textId="77777777" w:rsidR="00853FBE" w:rsidRDefault="00853FBE" w:rsidP="00853FBE">
      <w:pPr>
        <w:pStyle w:val="Textoindependiente"/>
        <w:ind w:firstLine="550"/>
        <w:rPr>
          <w:sz w:val="22"/>
          <w:szCs w:val="22"/>
        </w:rPr>
      </w:pPr>
      <w:r>
        <w:rPr>
          <w:sz w:val="22"/>
          <w:szCs w:val="22"/>
        </w:rPr>
        <w:t>Los pagos por arrendamientos operativos se registran como gastos en la cuenta de pérdidas y ganancias cuando se devengan.</w:t>
      </w:r>
    </w:p>
    <w:p w14:paraId="48F182F4" w14:textId="77777777" w:rsidR="00853FBE" w:rsidRDefault="00853FBE" w:rsidP="00853FBE">
      <w:pPr>
        <w:pStyle w:val="Textoindependiente"/>
        <w:ind w:firstLine="550"/>
        <w:rPr>
          <w:sz w:val="22"/>
          <w:szCs w:val="22"/>
        </w:rPr>
      </w:pPr>
      <w:r>
        <w:rPr>
          <w:sz w:val="22"/>
          <w:szCs w:val="22"/>
        </w:rPr>
        <w:t>Los ingresos derivados de los arrendamientos operativos se registran en la cuenta de pérdidas y ganancias cuando se devengan. Los costes directos imputables al contrato se incluyen como mayor valor del activo arrendado y se reconocen como gasto durante el plazo del contrato, aplicando el mismo criterio utilizado para el reconocimiento de los ingresos del arrendamiento.</w:t>
      </w:r>
    </w:p>
    <w:p w14:paraId="7439963E"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6045ACED" w14:textId="77777777" w:rsidR="00853FBE" w:rsidRDefault="00853FBE" w:rsidP="00853FBE">
      <w:pPr>
        <w:pStyle w:val="Ttulo2"/>
        <w:ind w:left="0"/>
        <w:rPr>
          <w:bCs w:val="0"/>
          <w:iCs/>
          <w:sz w:val="22"/>
          <w:szCs w:val="22"/>
        </w:rPr>
      </w:pPr>
      <w:bookmarkStart w:id="23" w:name="_Toc106814579"/>
      <w:r>
        <w:rPr>
          <w:bCs w:val="0"/>
          <w:iCs/>
          <w:sz w:val="22"/>
          <w:szCs w:val="22"/>
        </w:rPr>
        <w:t>4.5. Permutas.</w:t>
      </w:r>
      <w:bookmarkEnd w:id="23"/>
    </w:p>
    <w:p w14:paraId="6C07E938" w14:textId="77777777" w:rsidR="00853FBE" w:rsidRDefault="00853FBE" w:rsidP="00853FBE">
      <w:pPr>
        <w:pStyle w:val="Textoindependiente"/>
        <w:ind w:firstLine="708"/>
        <w:rPr>
          <w:sz w:val="22"/>
          <w:szCs w:val="22"/>
        </w:rPr>
      </w:pPr>
      <w:r>
        <w:rPr>
          <w:sz w:val="22"/>
          <w:szCs w:val="22"/>
        </w:rPr>
        <w:t xml:space="preserve">Las permutas no comerciales se reconocen al valor en libros del activo permutado. </w:t>
      </w:r>
    </w:p>
    <w:p w14:paraId="068B037B" w14:textId="77777777" w:rsidR="00853FBE" w:rsidRDefault="00853FBE" w:rsidP="00853FBE">
      <w:pPr>
        <w:pStyle w:val="Textoindependiente"/>
        <w:ind w:firstLine="708"/>
        <w:rPr>
          <w:sz w:val="22"/>
          <w:szCs w:val="22"/>
        </w:rPr>
      </w:pPr>
      <w:r>
        <w:rPr>
          <w:sz w:val="22"/>
          <w:szCs w:val="22"/>
        </w:rPr>
        <w:t xml:space="preserve">Las permutas comerciales se reconocen al valor razonable del bien entregado a no ser que el valor razonable del bien recibido fuera más fiable. </w:t>
      </w:r>
    </w:p>
    <w:p w14:paraId="1E113C29" w14:textId="77777777" w:rsidR="00853FBE" w:rsidRDefault="00853FBE" w:rsidP="00853FBE">
      <w:pPr>
        <w:pStyle w:val="Textoindependiente"/>
        <w:ind w:firstLine="708"/>
        <w:rPr>
          <w:sz w:val="22"/>
          <w:szCs w:val="22"/>
        </w:rPr>
      </w:pPr>
      <w:r>
        <w:rPr>
          <w:sz w:val="22"/>
          <w:szCs w:val="22"/>
        </w:rPr>
        <w:t xml:space="preserve">En el presente ejercicio no se ha realizado ninguna operación de permuta. </w:t>
      </w:r>
    </w:p>
    <w:p w14:paraId="163DA665"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56253EB1" w14:textId="77777777" w:rsidR="00853FBE" w:rsidRDefault="00853FBE" w:rsidP="00853FBE">
      <w:pPr>
        <w:pStyle w:val="Ttulo2"/>
        <w:ind w:left="0"/>
        <w:rPr>
          <w:bCs w:val="0"/>
          <w:iCs/>
          <w:sz w:val="22"/>
          <w:szCs w:val="22"/>
        </w:rPr>
      </w:pPr>
      <w:bookmarkStart w:id="24" w:name="_Toc106814580"/>
      <w:r>
        <w:rPr>
          <w:bCs w:val="0"/>
          <w:iCs/>
          <w:sz w:val="22"/>
          <w:szCs w:val="22"/>
        </w:rPr>
        <w:t>4.6. Instrumentos financieros.</w:t>
      </w:r>
      <w:bookmarkEnd w:id="24"/>
    </w:p>
    <w:p w14:paraId="6DE2E982" w14:textId="77777777" w:rsidR="00853FBE" w:rsidRDefault="00853FBE" w:rsidP="00853FBE">
      <w:pPr>
        <w:pStyle w:val="Textoindependiente"/>
        <w:ind w:firstLine="708"/>
        <w:rPr>
          <w:sz w:val="22"/>
          <w:szCs w:val="22"/>
        </w:rPr>
      </w:pPr>
      <w:r>
        <w:rPr>
          <w:sz w:val="22"/>
          <w:szCs w:val="22"/>
        </w:rPr>
        <w:t xml:space="preserve">La sociedad tiene registrados en el </w:t>
      </w:r>
      <w:proofErr w:type="spellStart"/>
      <w:r>
        <w:rPr>
          <w:sz w:val="22"/>
          <w:szCs w:val="22"/>
        </w:rPr>
        <w:t>capitulo</w:t>
      </w:r>
      <w:proofErr w:type="spellEnd"/>
      <w:r>
        <w:rPr>
          <w:sz w:val="22"/>
          <w:szCs w:val="22"/>
        </w:rPr>
        <w:t xml:space="preserve"> de instrumentos financieros, aquellos  contratos que dan lugar a un activo financiero en una empresa y, simultáneamente, a un pasivo financiero o a un instrumento de patrimonio en otra empresa. Se consideran, por tanto instrumentos financieros, los siguientes:</w:t>
      </w:r>
    </w:p>
    <w:p w14:paraId="35251EEE" w14:textId="77777777" w:rsidR="00853FBE" w:rsidRDefault="00853FBE" w:rsidP="00853FBE">
      <w:pPr>
        <w:pStyle w:val="Textoindependiente"/>
        <w:ind w:left="550"/>
        <w:rPr>
          <w:sz w:val="22"/>
          <w:szCs w:val="22"/>
        </w:rPr>
      </w:pPr>
    </w:p>
    <w:p w14:paraId="6C20704B" w14:textId="77777777" w:rsidR="00853FBE" w:rsidRDefault="00853FBE" w:rsidP="00853FBE">
      <w:pPr>
        <w:pStyle w:val="Textoindependiente"/>
        <w:ind w:left="708"/>
        <w:rPr>
          <w:sz w:val="22"/>
          <w:szCs w:val="22"/>
        </w:rPr>
      </w:pPr>
      <w:r>
        <w:rPr>
          <w:sz w:val="22"/>
          <w:szCs w:val="22"/>
        </w:rPr>
        <w:t>a) Activos financieros:</w:t>
      </w:r>
    </w:p>
    <w:p w14:paraId="3380D34D"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Efectivo y otros activos líquidos equivalentes.</w:t>
      </w:r>
    </w:p>
    <w:p w14:paraId="7036F3BB"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Créditos por operaciones comerciales: clientes y deudores varios;</w:t>
      </w:r>
    </w:p>
    <w:p w14:paraId="07314712"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Créditos a terceros: tales como los préstamos y créditos financieros concedidos, incluidos los surgidos de la venta de activos no corrientes;</w:t>
      </w:r>
    </w:p>
    <w:p w14:paraId="08803404"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lastRenderedPageBreak/>
        <w:t>Valores representativos de deuda de otras empresas adquiridos: tales como las obligaciones, bonos y pagarés;</w:t>
      </w:r>
    </w:p>
    <w:p w14:paraId="395832F4"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Instrumentos de patrimonio de otras empresas adquiridos: acciones, participaciones en instituciones de inversión colectiva y otros instrumentos de patrimonio;</w:t>
      </w:r>
    </w:p>
    <w:p w14:paraId="07A788A5"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Derivados con valoración favorable para la empresa: entre ellos, futuros, opciones, permutas financieras y compraventa de moneda extranjera a plazo, y</w:t>
      </w:r>
    </w:p>
    <w:p w14:paraId="4131D8CA" w14:textId="77777777" w:rsidR="00853FBE" w:rsidRDefault="00853FBE" w:rsidP="00853FBE">
      <w:pPr>
        <w:pStyle w:val="Textoindependiente"/>
        <w:numPr>
          <w:ilvl w:val="0"/>
          <w:numId w:val="7"/>
        </w:numPr>
        <w:tabs>
          <w:tab w:val="clear" w:pos="1068"/>
          <w:tab w:val="num" w:pos="1226"/>
        </w:tabs>
        <w:ind w:left="1226"/>
        <w:rPr>
          <w:sz w:val="22"/>
          <w:szCs w:val="22"/>
        </w:rPr>
      </w:pPr>
      <w:r>
        <w:rPr>
          <w:sz w:val="22"/>
          <w:szCs w:val="22"/>
        </w:rPr>
        <w:t>Otros activos financieros: tales como depósitos en entidades de crédito, anticipos y créditos al personal, fianzas y depósitos constituidos, dividendos a cobrar y desembolsos exigidos sobre instrumentos de patrimonio propio.</w:t>
      </w:r>
    </w:p>
    <w:p w14:paraId="305695B9" w14:textId="77777777" w:rsidR="00853FBE" w:rsidRDefault="00853FBE" w:rsidP="00853FBE">
      <w:pPr>
        <w:pStyle w:val="Textoindependiente"/>
        <w:ind w:left="708"/>
        <w:rPr>
          <w:sz w:val="22"/>
          <w:szCs w:val="22"/>
        </w:rPr>
      </w:pPr>
    </w:p>
    <w:p w14:paraId="04BAB9F8" w14:textId="77777777" w:rsidR="00853FBE" w:rsidRDefault="00853FBE" w:rsidP="00853FBE">
      <w:pPr>
        <w:pStyle w:val="Textoindependiente"/>
        <w:ind w:left="708"/>
        <w:rPr>
          <w:sz w:val="22"/>
          <w:szCs w:val="22"/>
        </w:rPr>
      </w:pPr>
      <w:r>
        <w:rPr>
          <w:sz w:val="22"/>
          <w:szCs w:val="22"/>
        </w:rPr>
        <w:t>b) Pasivos financieros:</w:t>
      </w:r>
    </w:p>
    <w:p w14:paraId="0A7D17D1" w14:textId="4E0901B5" w:rsidR="00853FBE" w:rsidRDefault="00853FBE" w:rsidP="00853FBE">
      <w:pPr>
        <w:pStyle w:val="Textoindependiente"/>
        <w:numPr>
          <w:ilvl w:val="0"/>
          <w:numId w:val="8"/>
        </w:numPr>
        <w:tabs>
          <w:tab w:val="clear" w:pos="1068"/>
          <w:tab w:val="num" w:pos="1226"/>
        </w:tabs>
        <w:ind w:left="1226"/>
        <w:rPr>
          <w:sz w:val="22"/>
          <w:szCs w:val="22"/>
        </w:rPr>
      </w:pPr>
      <w:r>
        <w:rPr>
          <w:sz w:val="22"/>
          <w:szCs w:val="22"/>
        </w:rPr>
        <w:t xml:space="preserve">Débitos por operaciones comerciales: </w:t>
      </w:r>
      <w:r w:rsidR="00EB3E71">
        <w:rPr>
          <w:sz w:val="22"/>
          <w:szCs w:val="22"/>
        </w:rPr>
        <w:t>proveedores y</w:t>
      </w:r>
      <w:r>
        <w:rPr>
          <w:sz w:val="22"/>
          <w:szCs w:val="22"/>
        </w:rPr>
        <w:t xml:space="preserve"> acreedores varios;</w:t>
      </w:r>
    </w:p>
    <w:p w14:paraId="7C0773A8" w14:textId="77777777" w:rsidR="00853FBE" w:rsidRDefault="00853FBE" w:rsidP="00853FBE">
      <w:pPr>
        <w:pStyle w:val="Textoindependiente"/>
        <w:numPr>
          <w:ilvl w:val="0"/>
          <w:numId w:val="8"/>
        </w:numPr>
        <w:tabs>
          <w:tab w:val="clear" w:pos="1068"/>
          <w:tab w:val="num" w:pos="1226"/>
        </w:tabs>
        <w:ind w:left="1226"/>
        <w:rPr>
          <w:sz w:val="22"/>
          <w:szCs w:val="22"/>
        </w:rPr>
      </w:pPr>
      <w:r>
        <w:rPr>
          <w:sz w:val="22"/>
          <w:szCs w:val="22"/>
        </w:rPr>
        <w:t>Deudas con entidades de crédito;</w:t>
      </w:r>
    </w:p>
    <w:p w14:paraId="44ECDFDA" w14:textId="77777777" w:rsidR="00853FBE" w:rsidRDefault="00853FBE" w:rsidP="00853FBE">
      <w:pPr>
        <w:pStyle w:val="Textoindependiente"/>
        <w:numPr>
          <w:ilvl w:val="0"/>
          <w:numId w:val="8"/>
        </w:numPr>
        <w:tabs>
          <w:tab w:val="clear" w:pos="1068"/>
          <w:tab w:val="num" w:pos="1226"/>
        </w:tabs>
        <w:ind w:left="1226"/>
        <w:rPr>
          <w:sz w:val="22"/>
          <w:szCs w:val="22"/>
        </w:rPr>
      </w:pPr>
      <w:r>
        <w:rPr>
          <w:sz w:val="22"/>
          <w:szCs w:val="22"/>
        </w:rPr>
        <w:t>Obligaciones y otros valores negociables emitidos: tales como bonos y pagarés;</w:t>
      </w:r>
    </w:p>
    <w:p w14:paraId="4E5496B8" w14:textId="77777777" w:rsidR="00853FBE" w:rsidRDefault="00853FBE" w:rsidP="00853FBE">
      <w:pPr>
        <w:pStyle w:val="Textoindependiente"/>
        <w:numPr>
          <w:ilvl w:val="0"/>
          <w:numId w:val="8"/>
        </w:numPr>
        <w:tabs>
          <w:tab w:val="clear" w:pos="1068"/>
          <w:tab w:val="num" w:pos="1226"/>
        </w:tabs>
        <w:ind w:left="1226"/>
        <w:rPr>
          <w:sz w:val="22"/>
          <w:szCs w:val="22"/>
        </w:rPr>
      </w:pPr>
      <w:r>
        <w:rPr>
          <w:sz w:val="22"/>
          <w:szCs w:val="22"/>
        </w:rPr>
        <w:t>Derivados con valoración desfavorable para la empresa: entre ellos, futuros, opciones, permutas financieras y compraventa de moneda extranjera a plazo;</w:t>
      </w:r>
    </w:p>
    <w:p w14:paraId="1E26F999" w14:textId="77777777" w:rsidR="00853FBE" w:rsidRDefault="00853FBE" w:rsidP="00853FBE">
      <w:pPr>
        <w:pStyle w:val="Textoindependiente"/>
        <w:numPr>
          <w:ilvl w:val="0"/>
          <w:numId w:val="8"/>
        </w:numPr>
        <w:tabs>
          <w:tab w:val="clear" w:pos="1068"/>
          <w:tab w:val="num" w:pos="1226"/>
        </w:tabs>
        <w:ind w:left="1226"/>
        <w:rPr>
          <w:sz w:val="22"/>
          <w:szCs w:val="22"/>
        </w:rPr>
      </w:pPr>
      <w:r>
        <w:rPr>
          <w:sz w:val="22"/>
          <w:szCs w:val="22"/>
        </w:rPr>
        <w:t>Deudas con características especiales, y</w:t>
      </w:r>
    </w:p>
    <w:p w14:paraId="58421382" w14:textId="77777777" w:rsidR="00853FBE" w:rsidRDefault="00853FBE" w:rsidP="00853FBE">
      <w:pPr>
        <w:pStyle w:val="Textoindependiente"/>
        <w:numPr>
          <w:ilvl w:val="0"/>
          <w:numId w:val="8"/>
        </w:numPr>
        <w:tabs>
          <w:tab w:val="clear" w:pos="1068"/>
          <w:tab w:val="num" w:pos="1226"/>
        </w:tabs>
        <w:ind w:left="1226"/>
        <w:rPr>
          <w:sz w:val="22"/>
          <w:szCs w:val="22"/>
        </w:rPr>
      </w:pPr>
      <w:r>
        <w:rPr>
          <w:sz w:val="22"/>
          <w:szCs w:val="22"/>
        </w:rP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14:paraId="79F35384" w14:textId="77777777" w:rsidR="00853FBE" w:rsidRDefault="00853FBE" w:rsidP="00853FBE">
      <w:pPr>
        <w:pStyle w:val="Textoindependiente"/>
        <w:ind w:left="708"/>
        <w:rPr>
          <w:sz w:val="22"/>
          <w:szCs w:val="22"/>
        </w:rPr>
      </w:pPr>
    </w:p>
    <w:p w14:paraId="06D7E15F" w14:textId="77777777" w:rsidR="00853FBE" w:rsidRDefault="00853FBE" w:rsidP="00853FBE">
      <w:pPr>
        <w:pStyle w:val="Textoindependiente"/>
        <w:ind w:left="708"/>
        <w:rPr>
          <w:sz w:val="22"/>
          <w:szCs w:val="22"/>
        </w:rPr>
      </w:pPr>
      <w:r>
        <w:rPr>
          <w:sz w:val="22"/>
          <w:szCs w:val="22"/>
        </w:rPr>
        <w:t>c) Instrumentos de patrimonio propio: todos los instrumentos financieros que se incluyen dentro de los fondos propios, tal como las acciones ordinarias emitidas.</w:t>
      </w:r>
    </w:p>
    <w:p w14:paraId="22EDBB13" w14:textId="77777777" w:rsidR="00853FBE" w:rsidRDefault="00853FBE" w:rsidP="00853FBE">
      <w:pPr>
        <w:pStyle w:val="Textoindependiente"/>
        <w:ind w:left="550"/>
        <w:rPr>
          <w:sz w:val="22"/>
          <w:szCs w:val="22"/>
        </w:rPr>
      </w:pPr>
    </w:p>
    <w:p w14:paraId="152E9F46" w14:textId="77777777" w:rsidR="00853FBE" w:rsidRDefault="00853FBE" w:rsidP="00853FBE">
      <w:pPr>
        <w:pStyle w:val="Textoindependiente"/>
        <w:rPr>
          <w:sz w:val="22"/>
          <w:szCs w:val="22"/>
        </w:rPr>
      </w:pPr>
      <w:r>
        <w:rPr>
          <w:sz w:val="22"/>
          <w:szCs w:val="22"/>
        </w:rPr>
        <w:tab/>
        <w:t xml:space="preserve">Los instrumentos financieros se clasifican como: </w:t>
      </w:r>
    </w:p>
    <w:p w14:paraId="41412F53" w14:textId="77777777" w:rsidR="004B4BCF" w:rsidRDefault="004B4BCF" w:rsidP="00853FBE">
      <w:pPr>
        <w:pStyle w:val="Textoindependiente"/>
        <w:rPr>
          <w:sz w:val="22"/>
          <w:szCs w:val="22"/>
        </w:rPr>
      </w:pPr>
    </w:p>
    <w:p w14:paraId="10892AAA" w14:textId="77777777" w:rsidR="00853FBE" w:rsidRDefault="00853FBE" w:rsidP="00853FBE">
      <w:pPr>
        <w:pStyle w:val="Textoindependiente"/>
        <w:rPr>
          <w:b/>
          <w:sz w:val="22"/>
          <w:szCs w:val="22"/>
        </w:rPr>
      </w:pPr>
      <w:r>
        <w:rPr>
          <w:sz w:val="22"/>
          <w:szCs w:val="22"/>
        </w:rPr>
        <w:tab/>
      </w:r>
      <w:r w:rsidRPr="00D75169">
        <w:rPr>
          <w:b/>
          <w:sz w:val="22"/>
          <w:szCs w:val="22"/>
        </w:rPr>
        <w:t>Activos financieros</w:t>
      </w:r>
    </w:p>
    <w:p w14:paraId="59529AB3" w14:textId="77777777" w:rsidR="008E712E" w:rsidRPr="002A6F3E" w:rsidRDefault="008E712E" w:rsidP="008E712E">
      <w:pPr>
        <w:pStyle w:val="Textoindependiente"/>
        <w:numPr>
          <w:ilvl w:val="0"/>
          <w:numId w:val="49"/>
        </w:numPr>
        <w:rPr>
          <w:sz w:val="22"/>
          <w:szCs w:val="22"/>
        </w:rPr>
      </w:pPr>
      <w:r w:rsidRPr="002A6F3E">
        <w:rPr>
          <w:sz w:val="22"/>
          <w:szCs w:val="22"/>
        </w:rPr>
        <w:t xml:space="preserve">Activos financieros a coste amortizado: </w:t>
      </w:r>
    </w:p>
    <w:p w14:paraId="51059D4B" w14:textId="77777777" w:rsidR="008E712E" w:rsidRPr="002A6F3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708"/>
        <w:jc w:val="both"/>
        <w:rPr>
          <w:rFonts w:cs="Arial"/>
          <w:sz w:val="22"/>
          <w:szCs w:val="22"/>
        </w:rPr>
      </w:pPr>
      <w:r>
        <w:rPr>
          <w:rFonts w:cs="Arial"/>
          <w:sz w:val="22"/>
          <w:szCs w:val="22"/>
        </w:rPr>
        <w:tab/>
      </w:r>
      <w:r>
        <w:rPr>
          <w:rFonts w:cs="Arial"/>
          <w:sz w:val="22"/>
          <w:szCs w:val="22"/>
        </w:rPr>
        <w:tab/>
      </w:r>
      <w:r w:rsidRPr="002A6F3E">
        <w:rPr>
          <w:rFonts w:cs="Arial"/>
          <w:sz w:val="22"/>
          <w:szCs w:val="22"/>
        </w:rPr>
        <w:t>Activos financieros, incluso los admitidos a negociación en un mercado organizado, para los que la Sociedad mantiene la inversión con el objetivo de percibir los flujos de efectivo derivados de la ejecución del contrato, y las condiciones contractuales del activo dan lugar, en fechas especificadas, a flujos de efectivo que son únicamente cobros de principal e intereses sobre el importe del principal pendiente.</w:t>
      </w:r>
    </w:p>
    <w:p w14:paraId="79D4F256" w14:textId="77777777" w:rsidR="008E712E" w:rsidRDefault="008E712E" w:rsidP="008E712E">
      <w:pPr>
        <w:pStyle w:val="Listaconnmeros2"/>
        <w:numPr>
          <w:ilvl w:val="0"/>
          <w:numId w:val="0"/>
        </w:numPr>
        <w:ind w:hanging="360"/>
        <w:rPr>
          <w:rFonts w:ascii="Arial" w:hAnsi="Arial" w:cs="Arial"/>
          <w:sz w:val="22"/>
          <w:szCs w:val="22"/>
        </w:rPr>
      </w:pPr>
      <w:r w:rsidRPr="002A6F3E">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5F701F09" w14:textId="76E63D92" w:rsidR="008E712E" w:rsidRPr="002A6F3E" w:rsidRDefault="008E712E" w:rsidP="008E712E">
      <w:pPr>
        <w:pStyle w:val="Listaconnmeros2"/>
        <w:numPr>
          <w:ilvl w:val="0"/>
          <w:numId w:val="0"/>
        </w:numPr>
        <w:ind w:hanging="360"/>
        <w:rPr>
          <w:rFonts w:ascii="Arial" w:hAnsi="Arial" w:cs="Arial"/>
          <w:sz w:val="22"/>
          <w:szCs w:val="22"/>
        </w:rPr>
      </w:pPr>
      <w:r w:rsidRPr="002A6F3E">
        <w:rPr>
          <w:rFonts w:ascii="Arial" w:hAnsi="Arial" w:cs="Arial"/>
          <w:sz w:val="22"/>
          <w:szCs w:val="22"/>
        </w:rPr>
        <w:lastRenderedPageBreak/>
        <w:t xml:space="preserve"> Con carácter general, se incluyen en esta categoría:</w:t>
      </w:r>
    </w:p>
    <w:p w14:paraId="6B637F79" w14:textId="77777777" w:rsidR="008E712E" w:rsidRPr="002A6F3E" w:rsidRDefault="008E712E" w:rsidP="008E712E">
      <w:pPr>
        <w:pStyle w:val="Listaconnmeros2"/>
        <w:numPr>
          <w:ilvl w:val="0"/>
          <w:numId w:val="0"/>
        </w:numPr>
        <w:ind w:left="643" w:hanging="360"/>
        <w:rPr>
          <w:rFonts w:ascii="Arial" w:hAnsi="Arial" w:cs="Arial"/>
          <w:sz w:val="22"/>
          <w:szCs w:val="22"/>
        </w:rPr>
      </w:pPr>
    </w:p>
    <w:p w14:paraId="631E31AD" w14:textId="77777777" w:rsidR="008E712E" w:rsidRPr="002A6F3E" w:rsidRDefault="008E712E" w:rsidP="008E712E">
      <w:pPr>
        <w:pStyle w:val="ListNumber3Left137cm"/>
        <w:numPr>
          <w:ilvl w:val="0"/>
          <w:numId w:val="48"/>
        </w:numPr>
        <w:ind w:left="284" w:hanging="142"/>
        <w:rPr>
          <w:rFonts w:ascii="Arial" w:hAnsi="Arial" w:cs="Arial"/>
          <w:sz w:val="22"/>
          <w:szCs w:val="22"/>
        </w:rPr>
      </w:pPr>
      <w:r w:rsidRPr="002A6F3E">
        <w:rPr>
          <w:rFonts w:ascii="Arial" w:hAnsi="Arial" w:cs="Arial"/>
          <w:sz w:val="22"/>
          <w:szCs w:val="22"/>
        </w:rPr>
        <w:t xml:space="preserve"> Créditos por operaciones comerciales: originados en la venta de bienes o en la prestación   de servicios por operaciones de tráfico con cobro aplazado, y </w:t>
      </w:r>
    </w:p>
    <w:p w14:paraId="1864A945" w14:textId="77777777" w:rsidR="008E712E" w:rsidRPr="002A6F3E" w:rsidRDefault="008E712E" w:rsidP="008E712E">
      <w:pPr>
        <w:pStyle w:val="ListNumber3Left137cm"/>
        <w:numPr>
          <w:ilvl w:val="0"/>
          <w:numId w:val="48"/>
        </w:numPr>
        <w:ind w:left="284" w:hanging="142"/>
        <w:rPr>
          <w:rFonts w:ascii="Arial" w:hAnsi="Arial" w:cs="Arial"/>
          <w:sz w:val="22"/>
          <w:szCs w:val="22"/>
        </w:rPr>
      </w:pPr>
      <w:r w:rsidRPr="002A6F3E">
        <w:rPr>
          <w:rFonts w:ascii="Arial" w:hAnsi="Arial" w:cs="Arial"/>
          <w:sz w:val="22"/>
          <w:szCs w:val="22"/>
        </w:rPr>
        <w:t xml:space="preserve"> Créditos por operaciones no comerciales: proceden de operaciones de préstamo o crédito concedidos por la Sociedad cuyos cobros son de cuantía determinada o determinable.</w:t>
      </w:r>
    </w:p>
    <w:p w14:paraId="68BE735D" w14:textId="77777777" w:rsidR="008E712E" w:rsidRDefault="008E712E" w:rsidP="008E712E">
      <w:pPr>
        <w:pStyle w:val="Textoindependiente"/>
        <w:numPr>
          <w:ilvl w:val="0"/>
          <w:numId w:val="49"/>
        </w:numPr>
        <w:rPr>
          <w:sz w:val="22"/>
          <w:szCs w:val="22"/>
        </w:rPr>
      </w:pPr>
      <w:r w:rsidRPr="002A6F3E">
        <w:rPr>
          <w:sz w:val="22"/>
          <w:szCs w:val="22"/>
        </w:rPr>
        <w:t xml:space="preserve">Activos financieros a valor razonable con cambios en el patrimonio neto: </w:t>
      </w:r>
    </w:p>
    <w:p w14:paraId="6D5C9292" w14:textId="77777777" w:rsidR="008E712E" w:rsidRPr="002A6F3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550"/>
        <w:jc w:val="both"/>
        <w:rPr>
          <w:rFonts w:cs="Arial"/>
          <w:sz w:val="22"/>
          <w:szCs w:val="22"/>
        </w:rPr>
      </w:pPr>
      <w:r>
        <w:rPr>
          <w:rFonts w:cs="Arial"/>
          <w:sz w:val="22"/>
          <w:szCs w:val="22"/>
        </w:rPr>
        <w:tab/>
      </w:r>
      <w:r>
        <w:rPr>
          <w:rFonts w:cs="Arial"/>
          <w:sz w:val="22"/>
          <w:szCs w:val="22"/>
        </w:rPr>
        <w:tab/>
      </w:r>
      <w:r w:rsidRPr="002A6F3E">
        <w:rPr>
          <w:rFonts w:cs="Arial"/>
          <w:sz w:val="22"/>
          <w:szCs w:val="22"/>
        </w:rPr>
        <w:t>En esta categoría se incluyen los activos financieros cuyas condiciones contractuales dan lugar, en fechas especificadas, a flujos de efectivo que son únicamente cobros de principal e intereses sobre el importe del principal pendiente, y no se mantienen para negociar ni procede su clasificación en la categoría anterior. También se incluirán en esta categoría las inversiones en Instrumentos de patrimonio designadas irrevocablemente por la Sociedad en el momento de su reconocimiento inicial, siempre y cuando que no se mantengan para negociar ni deban valorarse al coste.</w:t>
      </w:r>
    </w:p>
    <w:p w14:paraId="136FD870" w14:textId="77777777" w:rsidR="008E712E" w:rsidRDefault="008E712E" w:rsidP="008E712E">
      <w:pPr>
        <w:pStyle w:val="Listaconnmeros2"/>
        <w:numPr>
          <w:ilvl w:val="0"/>
          <w:numId w:val="49"/>
        </w:numPr>
        <w:tabs>
          <w:tab w:val="left" w:pos="0"/>
          <w:tab w:val="left" w:pos="142"/>
          <w:tab w:val="left" w:pos="284"/>
        </w:tabs>
        <w:spacing w:before="240" w:after="240"/>
        <w:contextualSpacing w:val="0"/>
        <w:jc w:val="both"/>
        <w:rPr>
          <w:rFonts w:ascii="Arial" w:hAnsi="Arial" w:cs="Arial"/>
          <w:color w:val="000000"/>
          <w:sz w:val="22"/>
          <w:szCs w:val="22"/>
          <w:lang w:val="es-ES" w:eastAsia="es-ES"/>
        </w:rPr>
      </w:pPr>
      <w:r w:rsidRPr="002A6F3E">
        <w:rPr>
          <w:rFonts w:ascii="Arial" w:hAnsi="Arial" w:cs="Arial"/>
          <w:color w:val="000000"/>
          <w:sz w:val="22"/>
          <w:szCs w:val="22"/>
          <w:lang w:val="es-ES" w:eastAsia="es-ES"/>
        </w:rPr>
        <w:t xml:space="preserve">Activos financieros a coste: </w:t>
      </w:r>
    </w:p>
    <w:p w14:paraId="44CEFBA8" w14:textId="77777777" w:rsidR="008E712E" w:rsidRPr="002A6F3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708"/>
        <w:jc w:val="both"/>
        <w:rPr>
          <w:rFonts w:cs="Arial"/>
          <w:sz w:val="22"/>
          <w:szCs w:val="22"/>
        </w:rPr>
      </w:pPr>
      <w:r>
        <w:rPr>
          <w:rFonts w:cs="Arial"/>
          <w:sz w:val="22"/>
          <w:szCs w:val="22"/>
        </w:rPr>
        <w:tab/>
      </w:r>
      <w:r>
        <w:rPr>
          <w:rFonts w:cs="Arial"/>
          <w:sz w:val="22"/>
          <w:szCs w:val="22"/>
        </w:rPr>
        <w:tab/>
      </w:r>
      <w:r w:rsidRPr="002A6F3E">
        <w:rPr>
          <w:rFonts w:cs="Arial"/>
          <w:sz w:val="22"/>
          <w:szCs w:val="22"/>
        </w:rPr>
        <w:t xml:space="preserve">Se incluyen las siguientes inversiones: Instrumentos de patrimonio de empresas del Grupo, </w:t>
      </w:r>
      <w:proofErr w:type="spellStart"/>
      <w:r w:rsidRPr="002A6F3E">
        <w:rPr>
          <w:rFonts w:cs="Arial"/>
          <w:sz w:val="22"/>
          <w:szCs w:val="22"/>
        </w:rPr>
        <w:t>multigrupo</w:t>
      </w:r>
      <w:proofErr w:type="spellEnd"/>
      <w:r w:rsidRPr="002A6F3E">
        <w:rPr>
          <w:rFonts w:cs="Arial"/>
          <w:sz w:val="22"/>
          <w:szCs w:val="22"/>
        </w:rPr>
        <w:t xml:space="preserve"> y asociadas; Instrumentos de patrimonio cuyo valor razonable no pueda determinarse con fiabilidad, y los derivados que tengan como subyacente a estas inversiones; Activos financieros híbridos cuyo valor razonable no pueda estimarse de manera fiable, salvo que se cumplan los requisitos para su contabilización a coste amortizado; Aportaciones realizadas en contratos de cuentas en participación y similares; Préstamos participativos con intereses de carácter contingente; Activos financieros que deberían clasificarse en la siguiente categoría pero su valor razonable no puede estimarse de forma fiable.</w:t>
      </w:r>
    </w:p>
    <w:p w14:paraId="376CA0EB" w14:textId="77777777" w:rsidR="008E712E" w:rsidRPr="002A6F3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550"/>
        <w:jc w:val="both"/>
        <w:rPr>
          <w:rFonts w:cs="Arial"/>
          <w:sz w:val="22"/>
          <w:szCs w:val="22"/>
        </w:rPr>
      </w:pPr>
      <w:r>
        <w:rPr>
          <w:rFonts w:cs="Arial"/>
          <w:sz w:val="22"/>
          <w:szCs w:val="22"/>
        </w:rPr>
        <w:tab/>
      </w:r>
      <w:r>
        <w:rPr>
          <w:rFonts w:cs="Arial"/>
          <w:sz w:val="22"/>
          <w:szCs w:val="22"/>
        </w:rPr>
        <w:tab/>
      </w:r>
      <w:r w:rsidRPr="002A6F3E">
        <w:rPr>
          <w:rFonts w:cs="Arial"/>
          <w:sz w:val="22"/>
          <w:szCs w:val="22"/>
        </w:rPr>
        <w:t xml:space="preserve">Se consideran empresas del Grupo aquellas vinculadas con la Sociedad por una relación de control, y empresas asociadas aquellas sobre las que la Sociedad ejerce una influencia significativa. Adicionalmente, dentro de la categoría de </w:t>
      </w:r>
      <w:proofErr w:type="spellStart"/>
      <w:r w:rsidRPr="002A6F3E">
        <w:rPr>
          <w:rFonts w:cs="Arial"/>
          <w:sz w:val="22"/>
          <w:szCs w:val="22"/>
        </w:rPr>
        <w:t>multigrupo</w:t>
      </w:r>
      <w:proofErr w:type="spellEnd"/>
      <w:r w:rsidRPr="002A6F3E">
        <w:rPr>
          <w:rFonts w:cs="Arial"/>
          <w:sz w:val="22"/>
          <w:szCs w:val="22"/>
        </w:rPr>
        <w:t xml:space="preserve"> se incluye a aquellas sociedades sobre las que, en virtud de un acuerdo, se ejerce un control conjunto con uno o más socios. </w:t>
      </w:r>
    </w:p>
    <w:p w14:paraId="5D6624B2" w14:textId="77777777" w:rsidR="008E712E" w:rsidRPr="002A6F3E" w:rsidRDefault="008E712E" w:rsidP="008E712E">
      <w:pPr>
        <w:pStyle w:val="Listaconnmeros2"/>
        <w:numPr>
          <w:ilvl w:val="0"/>
          <w:numId w:val="49"/>
        </w:numPr>
        <w:spacing w:before="240" w:after="240"/>
        <w:contextualSpacing w:val="0"/>
        <w:jc w:val="both"/>
        <w:rPr>
          <w:rFonts w:ascii="Arial" w:hAnsi="Arial" w:cs="Arial"/>
          <w:color w:val="000000"/>
          <w:sz w:val="22"/>
          <w:szCs w:val="22"/>
          <w:lang w:val="es-ES" w:eastAsia="es-ES"/>
        </w:rPr>
      </w:pPr>
      <w:r w:rsidRPr="002A6F3E">
        <w:rPr>
          <w:rFonts w:ascii="Arial" w:hAnsi="Arial" w:cs="Arial"/>
          <w:color w:val="000000"/>
          <w:sz w:val="22"/>
          <w:szCs w:val="22"/>
          <w:lang w:val="es-ES" w:eastAsia="es-ES"/>
        </w:rPr>
        <w:t xml:space="preserve">Activos financieros a valor razonable con cambios en la cuenta de pérdidas y ganancias: </w:t>
      </w:r>
    </w:p>
    <w:p w14:paraId="329AABE3" w14:textId="77777777" w:rsidR="008E712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550"/>
        <w:jc w:val="both"/>
        <w:rPr>
          <w:rFonts w:cs="Arial"/>
          <w:sz w:val="22"/>
          <w:szCs w:val="22"/>
        </w:rPr>
      </w:pPr>
      <w:r>
        <w:rPr>
          <w:rFonts w:cs="Arial"/>
          <w:sz w:val="22"/>
          <w:szCs w:val="22"/>
        </w:rPr>
        <w:tab/>
      </w:r>
      <w:r>
        <w:rPr>
          <w:rFonts w:cs="Arial"/>
          <w:sz w:val="22"/>
          <w:szCs w:val="22"/>
        </w:rPr>
        <w:tab/>
      </w:r>
      <w:r w:rsidRPr="002A6F3E">
        <w:rPr>
          <w:rFonts w:cs="Arial"/>
          <w:sz w:val="22"/>
          <w:szCs w:val="22"/>
        </w:rPr>
        <w:t>Se incluyen los Activos financieros mantenidos para negociar y aquellos activos financieros que no han sido clasificados en ninguna de las categorías anteriores. Asimismo, se incluyen en esta categoría los Activos financieros que así designa opcionalmente la Sociedad en el momento del reconocimiento inicial, que en caso contrario se habrían incluido en otra categoría, debido a que dicha designación elimina o reduce significativamente una incoherencia de valoración o asimetría contable que surgiría.</w:t>
      </w:r>
    </w:p>
    <w:p w14:paraId="72C0FA87" w14:textId="77777777" w:rsidR="008E712E" w:rsidRPr="002A6F3E" w:rsidRDefault="008E712E" w:rsidP="008E712E">
      <w:pPr>
        <w:tabs>
          <w:tab w:val="left" w:pos="846"/>
          <w:tab w:val="left" w:pos="1416"/>
          <w:tab w:val="left" w:pos="1980"/>
          <w:tab w:val="left" w:pos="2550"/>
          <w:tab w:val="left" w:pos="3114"/>
          <w:tab w:val="left" w:pos="3678"/>
          <w:tab w:val="left" w:pos="4248"/>
          <w:tab w:val="left" w:pos="4812"/>
          <w:tab w:val="left" w:pos="5382"/>
          <w:tab w:val="left" w:pos="5946"/>
          <w:tab w:val="left" w:pos="6510"/>
          <w:tab w:val="left" w:pos="7080"/>
          <w:tab w:val="left" w:pos="7644"/>
          <w:tab w:val="left" w:pos="8214"/>
          <w:tab w:val="left" w:pos="8778"/>
          <w:tab w:val="left" w:pos="9342"/>
        </w:tabs>
        <w:ind w:left="550"/>
        <w:jc w:val="both"/>
        <w:rPr>
          <w:rFonts w:cs="Arial"/>
          <w:sz w:val="22"/>
          <w:szCs w:val="22"/>
        </w:rPr>
      </w:pPr>
    </w:p>
    <w:p w14:paraId="70580FCA" w14:textId="77777777" w:rsidR="008E712E" w:rsidRPr="0005500E" w:rsidRDefault="008E712E" w:rsidP="008E712E">
      <w:pPr>
        <w:rPr>
          <w:rFonts w:cs="Arial"/>
          <w:i/>
          <w:sz w:val="22"/>
          <w:szCs w:val="22"/>
        </w:rPr>
      </w:pPr>
      <w:r w:rsidRPr="0005500E">
        <w:rPr>
          <w:rFonts w:cs="Arial"/>
          <w:i/>
          <w:sz w:val="22"/>
          <w:szCs w:val="22"/>
        </w:rPr>
        <w:t>Valoración inicial</w:t>
      </w:r>
    </w:p>
    <w:p w14:paraId="7D62B73C"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4F1C6691"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Los Activos financieros se registran, en términos generales, inicialmente al valor razonable de la contraprestación entregada más los costes de la transacción que sean directamente atribuibles. No obstante, se reconocerán en la cuenta de pérdidas y ganancias del ejercicio los costes de transacción directamente atribuibles a los activos registrados a valor razonable con cambios en la cuenta de pérdidas y ganancias.</w:t>
      </w:r>
    </w:p>
    <w:p w14:paraId="0F97A690"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47DDACA4"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 xml:space="preserve">Asimismo, en el caso de Inversiones en el patrimonio de empresas del Grupo que otorgan control sobre la sociedad dependiente, los honorarios abonados a asesores legales u otros profesionales relacionados con la adquisición de la inversión se imputan directamente a la cuenta de pérdidas y ganancias. </w:t>
      </w:r>
    </w:p>
    <w:p w14:paraId="1E34F09D"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6FFF7320" w14:textId="77777777" w:rsidR="008E712E" w:rsidRPr="0005500E" w:rsidRDefault="008E712E" w:rsidP="008E712E">
      <w:pPr>
        <w:rPr>
          <w:rFonts w:cs="Arial"/>
          <w:i/>
          <w:sz w:val="22"/>
          <w:szCs w:val="22"/>
        </w:rPr>
      </w:pPr>
      <w:r w:rsidRPr="0005500E">
        <w:rPr>
          <w:rFonts w:cs="Arial"/>
          <w:i/>
          <w:sz w:val="22"/>
          <w:szCs w:val="22"/>
        </w:rPr>
        <w:t>Valoración posterior</w:t>
      </w:r>
    </w:p>
    <w:p w14:paraId="35F08664" w14:textId="77777777" w:rsidR="008E712E" w:rsidRPr="0005500E" w:rsidRDefault="008E712E" w:rsidP="008E712E">
      <w:pPr>
        <w:rPr>
          <w:rFonts w:cs="Arial"/>
          <w:sz w:val="22"/>
          <w:szCs w:val="22"/>
        </w:rPr>
      </w:pPr>
    </w:p>
    <w:p w14:paraId="6760763A"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Los Activos financieros a coste amortizado se registrarán aplicando dicho criterio de valoración imputando a la cuenta de pérdidas y ganancias los intereses devengados aplicando el método del tipo de interés efectivo.</w:t>
      </w:r>
    </w:p>
    <w:p w14:paraId="7AA48F58"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161C21FA"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 xml:space="preserve">Los Activos financieros incluidos en la categoría de valor razonable con cambios en el patrimonio neto se registrarán por su valor razonable, sin deducir los costes de transacción en que se pudiera incurrir en su enajenación. Los cambios que se produzcan en el valor razonable se registrarán directamente en el patrimonio neto, hasta que el Activo financiero cause baja del balance o se deteriore, momento en que el importe así reconocido, se imputará a la cuenta de pérdidas y ganancias. </w:t>
      </w:r>
    </w:p>
    <w:p w14:paraId="505022CD" w14:textId="77777777" w:rsidR="008E712E" w:rsidRPr="0005500E" w:rsidRDefault="008E712E" w:rsidP="008E712E">
      <w:pPr>
        <w:pStyle w:val="Listaconnmeros"/>
        <w:numPr>
          <w:ilvl w:val="0"/>
          <w:numId w:val="0"/>
        </w:numPr>
        <w:spacing w:before="2" w:after="2"/>
        <w:rPr>
          <w:rFonts w:ascii="Arial" w:hAnsi="Arial" w:cs="Arial"/>
          <w:sz w:val="22"/>
          <w:szCs w:val="22"/>
        </w:rPr>
      </w:pPr>
    </w:p>
    <w:p w14:paraId="2D53E80B"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Los Activos financieros a valor razonable con cambios en la cuenta de pérdidas y ganancias se valoran a su valor razonable, registrándose en la cuenta de pérdidas y ganancias el resultado de las variaciones en dicho valor razonable.</w:t>
      </w:r>
    </w:p>
    <w:p w14:paraId="06F9B21C"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343293EB"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Las inversiones clasificadas como Activos financieros a coste se valoran por su coste, minorado, en su caso, por el importe acumulado de las correcciones valorativas por deterioro. Dichas correcciones se calculan como la diferencia entre su valor en libros y el importe recuperable, entendido éste como el mayor importe entre su valor razonable menos los costes de venta y el valor actual de los flujos de efectivo futuros derivados de la inversión. Salvo mejor evidencia del importe recuperable de las Inversiones en instrumentos de patrimonio, se toma en consideración el patrimonio neto de la entidad participada, corregido por las plusvalías tácitas existentes en la fecha de la valoración, netas del efecto impositivo.</w:t>
      </w:r>
    </w:p>
    <w:p w14:paraId="13617D9C"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1E1C77FB" w14:textId="77777777" w:rsidR="008E712E" w:rsidRPr="0005500E" w:rsidRDefault="008E712E" w:rsidP="008E712E">
      <w:pPr>
        <w:rPr>
          <w:rFonts w:cs="Arial"/>
          <w:i/>
          <w:sz w:val="22"/>
          <w:szCs w:val="22"/>
        </w:rPr>
      </w:pPr>
      <w:r w:rsidRPr="0005500E">
        <w:rPr>
          <w:rFonts w:cs="Arial"/>
          <w:i/>
          <w:sz w:val="22"/>
          <w:szCs w:val="22"/>
        </w:rPr>
        <w:t>Deterioro</w:t>
      </w:r>
    </w:p>
    <w:p w14:paraId="45339566" w14:textId="77777777" w:rsidR="008E712E" w:rsidRDefault="008E712E" w:rsidP="008E712E">
      <w:pPr>
        <w:pStyle w:val="Listaconnmeros"/>
        <w:numPr>
          <w:ilvl w:val="0"/>
          <w:numId w:val="0"/>
        </w:numPr>
        <w:spacing w:before="2" w:after="2"/>
        <w:ind w:firstLine="708"/>
        <w:jc w:val="both"/>
        <w:rPr>
          <w:rFonts w:ascii="Arial" w:hAnsi="Arial" w:cs="Arial"/>
          <w:sz w:val="22"/>
          <w:szCs w:val="22"/>
        </w:rPr>
      </w:pPr>
    </w:p>
    <w:p w14:paraId="66F75341"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Al menos al cierre del ejercicio la Sociedad realiza un “test de deterioro” para los Activos financieros que no están registrados a valor razonable con cambios en la cuenta de pérdidas y ganancias. Se considera que existe evidencia objetiva de deterioro si el importe recuperable del Activo financiero es inferior a su valor en libros. En todo caso, para los Instrumentos de patrimonio a valor razonable con cambios en el patrimonio neto se presumirá que existe deterioro ante una caída de un año y medio o de un 40% en su cotización, sin que se haya producido la recuperación del valor. El registro del deterioro se registra en la cuenta de pérdidas y ganancias.</w:t>
      </w:r>
    </w:p>
    <w:p w14:paraId="3941BF5A" w14:textId="77777777" w:rsidR="008E712E" w:rsidRPr="0005500E" w:rsidRDefault="008E712E" w:rsidP="008E712E">
      <w:pPr>
        <w:pStyle w:val="Listaconnmeros"/>
        <w:numPr>
          <w:ilvl w:val="0"/>
          <w:numId w:val="0"/>
        </w:numPr>
        <w:spacing w:before="2" w:after="2"/>
        <w:ind w:left="360"/>
        <w:jc w:val="both"/>
        <w:rPr>
          <w:rFonts w:ascii="Arial" w:hAnsi="Arial" w:cs="Arial"/>
          <w:sz w:val="22"/>
          <w:szCs w:val="22"/>
        </w:rPr>
      </w:pPr>
    </w:p>
    <w:p w14:paraId="2A56B843"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En particular, y respecto a las correcciones valorativas relativas a los Activos financieros a coste amortizado, el criterio utilizado por la Sociedad para calcular las correspondientes correcciones valorativas, si las hubiera, es principalmente el hecho de la antigüedad de las mismas en relación a su período medio de cobro, o antes si existen indicios claros de la incobrabilidad.</w:t>
      </w:r>
    </w:p>
    <w:p w14:paraId="5BE7B0A3"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6270564C" w14:textId="77777777" w:rsidR="008E712E" w:rsidRPr="0005500E" w:rsidRDefault="008E712E" w:rsidP="008E712E">
      <w:pPr>
        <w:pStyle w:val="Listaconnmeros"/>
        <w:numPr>
          <w:ilvl w:val="0"/>
          <w:numId w:val="0"/>
        </w:numPr>
        <w:spacing w:before="2" w:after="2"/>
        <w:jc w:val="both"/>
        <w:rPr>
          <w:rFonts w:ascii="Arial" w:hAnsi="Arial" w:cs="Arial"/>
          <w:i/>
          <w:sz w:val="22"/>
          <w:szCs w:val="22"/>
        </w:rPr>
      </w:pPr>
      <w:r w:rsidRPr="0005500E">
        <w:rPr>
          <w:rFonts w:ascii="Arial" w:hAnsi="Arial" w:cs="Arial"/>
          <w:i/>
          <w:sz w:val="22"/>
          <w:szCs w:val="22"/>
        </w:rPr>
        <w:t>Bajas</w:t>
      </w:r>
    </w:p>
    <w:p w14:paraId="0AAB8FD5"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72B99945" w14:textId="77777777" w:rsidR="008E712E" w:rsidRPr="0005500E" w:rsidRDefault="008E712E" w:rsidP="008E712E">
      <w:pPr>
        <w:pStyle w:val="Listaconnmeros"/>
        <w:numPr>
          <w:ilvl w:val="0"/>
          <w:numId w:val="0"/>
        </w:numPr>
        <w:spacing w:before="2" w:after="2"/>
        <w:ind w:firstLine="708"/>
        <w:jc w:val="both"/>
        <w:rPr>
          <w:rFonts w:ascii="Arial" w:hAnsi="Arial" w:cs="Arial"/>
          <w:sz w:val="22"/>
          <w:szCs w:val="22"/>
        </w:rPr>
      </w:pPr>
      <w:r w:rsidRPr="0005500E">
        <w:rPr>
          <w:rFonts w:ascii="Arial" w:hAnsi="Arial" w:cs="Arial"/>
          <w:sz w:val="22"/>
          <w:szCs w:val="22"/>
        </w:rPr>
        <w:t>La Sociedad da de baja los Activos financieros cuando expiran o se han cedido los derechos sobre los flujos de efectivo del correspondiente Activo financiero y se han transferido sustancialmente los riesgos y beneficios inherentes a su propiedad, tales como en ventas en firme de activos, cesiones de créditos comerciales en operaciones de “</w:t>
      </w:r>
      <w:proofErr w:type="spellStart"/>
      <w:r w:rsidRPr="0005500E">
        <w:rPr>
          <w:rFonts w:ascii="Arial" w:hAnsi="Arial" w:cs="Arial"/>
          <w:sz w:val="22"/>
          <w:szCs w:val="22"/>
        </w:rPr>
        <w:t>factoring</w:t>
      </w:r>
      <w:proofErr w:type="spellEnd"/>
      <w:r w:rsidRPr="0005500E">
        <w:rPr>
          <w:rFonts w:ascii="Arial" w:hAnsi="Arial" w:cs="Arial"/>
          <w:sz w:val="22"/>
          <w:szCs w:val="22"/>
        </w:rPr>
        <w:t xml:space="preserve">” en las que la empresa no retiene ningún riesgo de crédito ni de interés o las </w:t>
      </w:r>
      <w:proofErr w:type="spellStart"/>
      <w:r w:rsidRPr="0005500E">
        <w:rPr>
          <w:rFonts w:ascii="Arial" w:hAnsi="Arial" w:cs="Arial"/>
          <w:sz w:val="22"/>
          <w:szCs w:val="22"/>
        </w:rPr>
        <w:t>titulizaciones</w:t>
      </w:r>
      <w:proofErr w:type="spellEnd"/>
      <w:r w:rsidRPr="0005500E">
        <w:rPr>
          <w:rFonts w:ascii="Arial" w:hAnsi="Arial" w:cs="Arial"/>
          <w:sz w:val="22"/>
          <w:szCs w:val="22"/>
        </w:rPr>
        <w:t xml:space="preserve"> de activos financieros en las que la empresa cedente no retiene financiaciones subordinadas ni concede ningún tipo de garantía o asume algún otro tipo de riesgo.</w:t>
      </w:r>
    </w:p>
    <w:p w14:paraId="5539E36D" w14:textId="77777777" w:rsidR="008E712E" w:rsidRPr="0005500E" w:rsidRDefault="008E712E" w:rsidP="008E712E">
      <w:pPr>
        <w:pStyle w:val="Listaconnmeros"/>
        <w:numPr>
          <w:ilvl w:val="0"/>
          <w:numId w:val="0"/>
        </w:numPr>
        <w:spacing w:before="2" w:after="2"/>
        <w:jc w:val="both"/>
        <w:rPr>
          <w:rFonts w:ascii="Arial" w:hAnsi="Arial" w:cs="Arial"/>
          <w:sz w:val="22"/>
          <w:szCs w:val="22"/>
        </w:rPr>
      </w:pPr>
    </w:p>
    <w:p w14:paraId="28D6B413" w14:textId="77777777" w:rsidR="008E712E" w:rsidRPr="0005500E" w:rsidRDefault="008E712E" w:rsidP="008E712E">
      <w:pPr>
        <w:pStyle w:val="Listaconnmeros"/>
        <w:numPr>
          <w:ilvl w:val="0"/>
          <w:numId w:val="0"/>
        </w:numPr>
        <w:spacing w:before="2" w:after="2"/>
        <w:ind w:firstLine="550"/>
        <w:jc w:val="both"/>
        <w:rPr>
          <w:rFonts w:ascii="Arial" w:hAnsi="Arial" w:cs="Arial"/>
          <w:sz w:val="22"/>
          <w:szCs w:val="22"/>
        </w:rPr>
      </w:pPr>
      <w:r w:rsidRPr="0005500E">
        <w:rPr>
          <w:rFonts w:ascii="Arial" w:hAnsi="Arial" w:cs="Arial"/>
          <w:sz w:val="22"/>
          <w:szCs w:val="22"/>
        </w:rPr>
        <w:t>Por el contrario, la Sociedad no da de baja los Activos financieros, y reconoce un pasivo financiero por un importe igual a la contraprestación recibida, en las cesiones de activos financieros en las que se retenga sustancialmente los riesgos y beneficios inherentes a su propiedad, tales como el descuento de efectos, el “</w:t>
      </w:r>
      <w:proofErr w:type="spellStart"/>
      <w:r w:rsidRPr="0005500E">
        <w:rPr>
          <w:rFonts w:ascii="Arial" w:hAnsi="Arial" w:cs="Arial"/>
          <w:sz w:val="22"/>
          <w:szCs w:val="22"/>
        </w:rPr>
        <w:t>factoring</w:t>
      </w:r>
      <w:proofErr w:type="spellEnd"/>
      <w:r w:rsidRPr="0005500E">
        <w:rPr>
          <w:rFonts w:ascii="Arial" w:hAnsi="Arial" w:cs="Arial"/>
          <w:sz w:val="22"/>
          <w:szCs w:val="22"/>
        </w:rPr>
        <w:t xml:space="preserve"> con recurso”, las ventas de activos financieros con pactos de recompra a un precio fijo o al precio de venta más un interés y las </w:t>
      </w:r>
      <w:proofErr w:type="spellStart"/>
      <w:r w:rsidRPr="0005500E">
        <w:rPr>
          <w:rFonts w:ascii="Arial" w:hAnsi="Arial" w:cs="Arial"/>
          <w:sz w:val="22"/>
          <w:szCs w:val="22"/>
        </w:rPr>
        <w:t>titulizaciones</w:t>
      </w:r>
      <w:proofErr w:type="spellEnd"/>
      <w:r w:rsidRPr="0005500E">
        <w:rPr>
          <w:rFonts w:ascii="Arial" w:hAnsi="Arial" w:cs="Arial"/>
          <w:sz w:val="22"/>
          <w:szCs w:val="22"/>
        </w:rPr>
        <w:t xml:space="preserve"> de activos financieros en las que la empresa cedente retiene financiaciones subordinadas u otro tipo de garantías que absorben sustancialmente todas las pérdidas esperadas. </w:t>
      </w:r>
    </w:p>
    <w:p w14:paraId="33827180" w14:textId="77777777" w:rsidR="00853FBE" w:rsidRDefault="00853FBE" w:rsidP="00853FBE">
      <w:pPr>
        <w:pStyle w:val="Textoindependiente"/>
        <w:ind w:firstLine="550"/>
        <w:rPr>
          <w:b/>
          <w:sz w:val="22"/>
          <w:szCs w:val="22"/>
        </w:rPr>
      </w:pPr>
    </w:p>
    <w:p w14:paraId="2E490861" w14:textId="77777777" w:rsidR="00853FBE" w:rsidRPr="00D75169" w:rsidRDefault="00853FBE" w:rsidP="00853FBE">
      <w:pPr>
        <w:pStyle w:val="Textoindependiente"/>
        <w:ind w:firstLine="550"/>
        <w:rPr>
          <w:b/>
          <w:sz w:val="22"/>
          <w:szCs w:val="22"/>
        </w:rPr>
      </w:pPr>
      <w:r w:rsidRPr="00AD560A">
        <w:rPr>
          <w:b/>
          <w:sz w:val="22"/>
          <w:szCs w:val="22"/>
        </w:rPr>
        <w:t xml:space="preserve">Pasivos financieros. </w:t>
      </w:r>
    </w:p>
    <w:p w14:paraId="306FB2A5" w14:textId="77777777" w:rsidR="008E712E" w:rsidRDefault="008E712E" w:rsidP="008E712E">
      <w:pPr>
        <w:pStyle w:val="Textoindependiente"/>
        <w:ind w:firstLine="550"/>
        <w:rPr>
          <w:sz w:val="22"/>
          <w:szCs w:val="22"/>
        </w:rPr>
      </w:pPr>
      <w:r w:rsidRPr="00ED1781">
        <w:rPr>
          <w:sz w:val="22"/>
          <w:szCs w:val="22"/>
        </w:rPr>
        <w:t>Los pasivos financieros asumidos o incurridos por la Sociedad se clasifican en las siguientes categorías de valoración:</w:t>
      </w:r>
    </w:p>
    <w:p w14:paraId="48253038" w14:textId="77777777" w:rsidR="008E712E" w:rsidRPr="00ED1781" w:rsidRDefault="008E712E" w:rsidP="008E712E">
      <w:pPr>
        <w:pStyle w:val="Textoindependiente"/>
        <w:ind w:firstLine="550"/>
        <w:rPr>
          <w:sz w:val="22"/>
          <w:szCs w:val="22"/>
        </w:rPr>
      </w:pPr>
    </w:p>
    <w:p w14:paraId="55B7AABC" w14:textId="77777777" w:rsidR="008E712E" w:rsidRDefault="008E712E" w:rsidP="008E712E">
      <w:pPr>
        <w:pStyle w:val="Prrafodelista"/>
        <w:numPr>
          <w:ilvl w:val="0"/>
          <w:numId w:val="37"/>
        </w:numPr>
        <w:rPr>
          <w:rFonts w:cs="Arial"/>
          <w:color w:val="000000"/>
          <w:sz w:val="22"/>
          <w:szCs w:val="22"/>
        </w:rPr>
      </w:pPr>
      <w:r w:rsidRPr="00ED1781">
        <w:rPr>
          <w:rFonts w:cs="Arial"/>
          <w:color w:val="000000"/>
          <w:sz w:val="22"/>
          <w:szCs w:val="22"/>
        </w:rPr>
        <w:t>Pasivos financieros a coste amortizado:</w:t>
      </w:r>
    </w:p>
    <w:p w14:paraId="021DD8B3" w14:textId="77777777" w:rsidR="008E712E" w:rsidRDefault="008E712E" w:rsidP="008E712E">
      <w:pPr>
        <w:pStyle w:val="Prrafodelista"/>
        <w:ind w:left="1424"/>
        <w:rPr>
          <w:rFonts w:cs="Arial"/>
          <w:color w:val="000000"/>
          <w:sz w:val="22"/>
          <w:szCs w:val="22"/>
        </w:rPr>
      </w:pPr>
    </w:p>
    <w:p w14:paraId="2FDEF132" w14:textId="5021B6D8" w:rsidR="008E712E" w:rsidRPr="00ED1781" w:rsidRDefault="008E712E" w:rsidP="008E712E">
      <w:pPr>
        <w:ind w:left="708" w:firstLine="708"/>
        <w:rPr>
          <w:rFonts w:cs="Arial"/>
          <w:color w:val="000000"/>
          <w:sz w:val="22"/>
          <w:szCs w:val="22"/>
        </w:rPr>
      </w:pPr>
      <w:r w:rsidRPr="00ED1781">
        <w:rPr>
          <w:rFonts w:cs="Arial"/>
          <w:color w:val="000000"/>
          <w:sz w:val="22"/>
          <w:szCs w:val="22"/>
        </w:rPr>
        <w:t xml:space="preserve">Aquellos débitos y partidas a pagar que tiene la Sociedad y que se han originado en la compra de bienes y servicios por operaciones de tráfico de la empresa, o aquellos que, sin tener un origen comercial, no siendo instrumentos derivados, proceden de operaciones de préstamo o crédito recibidos. </w:t>
      </w:r>
    </w:p>
    <w:p w14:paraId="16D7D01A" w14:textId="77777777" w:rsidR="008E712E" w:rsidRPr="00ED1781" w:rsidRDefault="008E712E" w:rsidP="008E712E">
      <w:pPr>
        <w:ind w:left="708" w:firstLine="708"/>
        <w:rPr>
          <w:rFonts w:cs="Arial"/>
          <w:color w:val="000000"/>
          <w:sz w:val="22"/>
          <w:szCs w:val="22"/>
        </w:rPr>
      </w:pPr>
      <w:r w:rsidRPr="00ED1781">
        <w:rPr>
          <w:rFonts w:cs="Arial"/>
          <w:color w:val="000000"/>
          <w:sz w:val="22"/>
          <w:szCs w:val="22"/>
        </w:rPr>
        <w:t>Estos pasivos se valoran inicialmente al valor razonable de la contraprestación recibida, ajustada por los costes de la transacción directamente atribuibles. Con posterioridad, dichos pasivos se valoran de acuerdo con su coste amortizado.</w:t>
      </w:r>
    </w:p>
    <w:p w14:paraId="70572D1D" w14:textId="77777777" w:rsidR="008E712E" w:rsidRPr="00ED1781" w:rsidRDefault="008E712E" w:rsidP="008E712E">
      <w:pPr>
        <w:pStyle w:val="Prrafodelista"/>
        <w:ind w:left="1424"/>
        <w:rPr>
          <w:rFonts w:cs="Arial"/>
          <w:color w:val="000000"/>
          <w:sz w:val="22"/>
          <w:szCs w:val="22"/>
        </w:rPr>
      </w:pPr>
    </w:p>
    <w:p w14:paraId="5B6AB02A" w14:textId="77777777" w:rsidR="008E712E" w:rsidRDefault="008E712E" w:rsidP="008E712E">
      <w:pPr>
        <w:pStyle w:val="Prrafodelista"/>
        <w:numPr>
          <w:ilvl w:val="0"/>
          <w:numId w:val="37"/>
        </w:numPr>
        <w:rPr>
          <w:rFonts w:cs="Arial"/>
          <w:color w:val="000000"/>
          <w:sz w:val="22"/>
          <w:szCs w:val="22"/>
        </w:rPr>
      </w:pPr>
      <w:r w:rsidRPr="00ED1781">
        <w:rPr>
          <w:rFonts w:cs="Arial"/>
          <w:color w:val="000000"/>
          <w:sz w:val="22"/>
          <w:szCs w:val="22"/>
        </w:rPr>
        <w:t>Pasivos financieros a valor razonable con cambios en la cuenta de pérdidas y ganancias.</w:t>
      </w:r>
    </w:p>
    <w:p w14:paraId="26F51433" w14:textId="77777777" w:rsidR="008E712E" w:rsidRDefault="008E712E" w:rsidP="008E712E">
      <w:pPr>
        <w:rPr>
          <w:rFonts w:cs="Arial"/>
          <w:color w:val="000000"/>
          <w:sz w:val="22"/>
          <w:szCs w:val="22"/>
        </w:rPr>
      </w:pPr>
    </w:p>
    <w:p w14:paraId="2314B34F" w14:textId="77777777" w:rsidR="008E712E" w:rsidRPr="00ED1781" w:rsidRDefault="008E712E" w:rsidP="008E712E">
      <w:pPr>
        <w:ind w:left="708" w:firstLine="708"/>
        <w:rPr>
          <w:rFonts w:cs="Arial"/>
          <w:color w:val="000000"/>
          <w:sz w:val="22"/>
          <w:szCs w:val="22"/>
        </w:rPr>
      </w:pPr>
      <w:r w:rsidRPr="00ED1781">
        <w:rPr>
          <w:rFonts w:cs="Arial"/>
          <w:color w:val="000000"/>
          <w:sz w:val="22"/>
          <w:szCs w:val="22"/>
        </w:rPr>
        <w:t xml:space="preserve">Los instrumentos financieros derivados de pasivo se valoran a su valor razonable, siguiendo los mismos criterios que los correspondientes a los </w:t>
      </w:r>
      <w:r w:rsidRPr="00ED1781">
        <w:rPr>
          <w:rFonts w:cs="Arial"/>
          <w:color w:val="000000"/>
          <w:sz w:val="22"/>
          <w:szCs w:val="22"/>
        </w:rPr>
        <w:lastRenderedPageBreak/>
        <w:t xml:space="preserve">activos financieros a valor razonable con cambios en pérdidas y ganancias descritos. </w:t>
      </w:r>
    </w:p>
    <w:p w14:paraId="79796AA7" w14:textId="77777777" w:rsidR="008E712E" w:rsidRPr="00ED1781" w:rsidRDefault="008E712E" w:rsidP="008E712E">
      <w:pPr>
        <w:ind w:left="708" w:firstLine="708"/>
        <w:rPr>
          <w:rFonts w:cs="Arial"/>
          <w:color w:val="000000"/>
          <w:sz w:val="22"/>
          <w:szCs w:val="22"/>
        </w:rPr>
      </w:pPr>
      <w:r w:rsidRPr="00ED1781">
        <w:rPr>
          <w:rFonts w:cs="Arial"/>
          <w:color w:val="000000"/>
          <w:sz w:val="22"/>
          <w:szCs w:val="22"/>
        </w:rPr>
        <w:t>Los activos y pasivos se presentan separadamente en el balance y únicamente se presentan por su importe neto cuando la Sociedad tiene el derecho exigible a compensar los importes reconocidos y, además, tienen la intención de liquidar las cantidades por el neto, o de realizar el activo y cancelar el pasivo simultáneamente.</w:t>
      </w:r>
    </w:p>
    <w:p w14:paraId="34F1B659" w14:textId="77777777" w:rsidR="008E712E" w:rsidRDefault="008E712E" w:rsidP="008E712E">
      <w:pPr>
        <w:pStyle w:val="Textoindependiente"/>
        <w:ind w:left="708" w:firstLine="708"/>
        <w:rPr>
          <w:i/>
          <w:sz w:val="22"/>
          <w:szCs w:val="22"/>
        </w:rPr>
      </w:pPr>
      <w:r>
        <w:rPr>
          <w:sz w:val="22"/>
          <w:szCs w:val="22"/>
        </w:rPr>
        <w:t>La Sociedad da de baja los pasivos financieros cuando se extinguen las obligaciones que los han generado.</w:t>
      </w:r>
      <w:r>
        <w:rPr>
          <w:i/>
          <w:sz w:val="22"/>
          <w:szCs w:val="22"/>
        </w:rPr>
        <w:tab/>
      </w:r>
    </w:p>
    <w:p w14:paraId="37ED45B4" w14:textId="77777777" w:rsidR="008E712E" w:rsidRDefault="008E712E" w:rsidP="008E712E">
      <w:pPr>
        <w:pStyle w:val="Textoindependiente"/>
        <w:ind w:left="910"/>
        <w:rPr>
          <w:i/>
          <w:sz w:val="22"/>
          <w:szCs w:val="22"/>
        </w:rPr>
      </w:pPr>
    </w:p>
    <w:p w14:paraId="2497EE46" w14:textId="610D8CFE" w:rsidR="008E712E" w:rsidRDefault="008E712E" w:rsidP="008E712E">
      <w:pPr>
        <w:pStyle w:val="Textoindependiente"/>
        <w:ind w:firstLine="550"/>
        <w:rPr>
          <w:b/>
          <w:sz w:val="22"/>
          <w:szCs w:val="22"/>
        </w:rPr>
      </w:pPr>
      <w:r w:rsidRPr="00ED1781">
        <w:rPr>
          <w:b/>
          <w:sz w:val="22"/>
          <w:szCs w:val="22"/>
        </w:rPr>
        <w:t xml:space="preserve">   Instrumentos de patrimonio</w:t>
      </w:r>
    </w:p>
    <w:p w14:paraId="09705BE5" w14:textId="77777777" w:rsidR="00E11EEC" w:rsidRDefault="00E11EEC" w:rsidP="00E11EEC">
      <w:pPr>
        <w:ind w:left="708" w:firstLine="708"/>
        <w:rPr>
          <w:rFonts w:cs="Arial"/>
          <w:color w:val="000000"/>
          <w:sz w:val="22"/>
          <w:szCs w:val="22"/>
        </w:rPr>
      </w:pPr>
    </w:p>
    <w:p w14:paraId="431090F1" w14:textId="0C969F77" w:rsidR="00E11EEC" w:rsidRPr="00E11EEC" w:rsidRDefault="00E11EEC" w:rsidP="00E11EEC">
      <w:pPr>
        <w:ind w:left="708" w:firstLine="708"/>
        <w:rPr>
          <w:rFonts w:cs="Arial"/>
          <w:color w:val="000000"/>
          <w:sz w:val="22"/>
          <w:szCs w:val="22"/>
        </w:rPr>
      </w:pPr>
      <w:r w:rsidRPr="00E11EEC">
        <w:rPr>
          <w:rFonts w:cs="Arial"/>
          <w:color w:val="000000"/>
          <w:sz w:val="22"/>
          <w:szCs w:val="22"/>
        </w:rPr>
        <w:t>Un Instrumento de patrimonio representa una participación residual en el Patrimonio de la Sociedad, una vez deducidos todos sus pasivos.</w:t>
      </w:r>
    </w:p>
    <w:p w14:paraId="71601DB9" w14:textId="2DE69396" w:rsidR="00E11EEC" w:rsidRPr="00E11EEC" w:rsidRDefault="00E11EEC" w:rsidP="00E11EEC">
      <w:pPr>
        <w:ind w:left="708" w:firstLine="708"/>
        <w:rPr>
          <w:rFonts w:cs="Arial"/>
          <w:color w:val="000000"/>
          <w:sz w:val="22"/>
          <w:szCs w:val="22"/>
        </w:rPr>
      </w:pPr>
      <w:r w:rsidRPr="00E11EEC">
        <w:rPr>
          <w:rFonts w:cs="Arial"/>
          <w:color w:val="000000"/>
          <w:sz w:val="22"/>
          <w:szCs w:val="22"/>
        </w:rPr>
        <w:t>Los Instrumentos de patrimonio emitidos por la Sociedad se registran en el Patrimonio neto por el importe recibido, neto de los gastos de emisión.</w:t>
      </w:r>
    </w:p>
    <w:p w14:paraId="01B8BB1C" w14:textId="67D4E91B" w:rsidR="00E11EEC" w:rsidRPr="00E11EEC" w:rsidRDefault="00E11EEC" w:rsidP="00E11EEC">
      <w:pPr>
        <w:ind w:left="708" w:firstLine="708"/>
        <w:rPr>
          <w:rFonts w:cs="Arial"/>
          <w:color w:val="000000"/>
          <w:sz w:val="22"/>
          <w:szCs w:val="22"/>
        </w:rPr>
      </w:pPr>
      <w:r w:rsidRPr="00E11EEC">
        <w:rPr>
          <w:rFonts w:cs="Arial"/>
          <w:color w:val="000000"/>
          <w:sz w:val="22"/>
          <w:szCs w:val="22"/>
        </w:rPr>
        <w:t>Las Acciones propias que adquiere la Sociedad durante el ejercicio se registran por el valor de la contraprestación entregada a cambio, directamente como menor valor del Patrimonio neto. Los resultados derivados de la compra, venta, emisión o amortización de los Instrumentos de patrimonio propio, se reconocen directamente en Patrimonio neto, sin que en ningún caso se registre resultado alguno en la cuenta de pérdidas y ganancias.</w:t>
      </w:r>
    </w:p>
    <w:p w14:paraId="554330E3" w14:textId="77777777" w:rsidR="00853FBE" w:rsidRDefault="00853FBE" w:rsidP="00853FBE">
      <w:pPr>
        <w:autoSpaceDE w:val="0"/>
        <w:autoSpaceDN w:val="0"/>
        <w:adjustRightInd w:val="0"/>
        <w:spacing w:before="0"/>
        <w:ind w:left="567" w:hanging="17"/>
        <w:jc w:val="both"/>
        <w:rPr>
          <w:rFonts w:cs="Arial"/>
          <w:i/>
          <w:color w:val="000000"/>
          <w:sz w:val="22"/>
          <w:szCs w:val="22"/>
        </w:rPr>
      </w:pPr>
      <w:bookmarkStart w:id="25" w:name="_GoBack"/>
      <w:bookmarkEnd w:id="25"/>
    </w:p>
    <w:p w14:paraId="0DB763BD" w14:textId="77777777" w:rsidR="00853FBE" w:rsidRDefault="00853FBE" w:rsidP="00853FBE">
      <w:pPr>
        <w:pStyle w:val="Ttulo2"/>
        <w:ind w:left="0"/>
        <w:rPr>
          <w:bCs w:val="0"/>
          <w:iCs/>
          <w:sz w:val="22"/>
          <w:szCs w:val="22"/>
        </w:rPr>
      </w:pPr>
      <w:bookmarkStart w:id="26" w:name="_Toc106814584"/>
      <w:r>
        <w:rPr>
          <w:bCs w:val="0"/>
          <w:iCs/>
          <w:sz w:val="22"/>
          <w:szCs w:val="22"/>
        </w:rPr>
        <w:t>4.7. Existencias.</w:t>
      </w:r>
      <w:bookmarkEnd w:id="26"/>
    </w:p>
    <w:p w14:paraId="4F79F305" w14:textId="11FCD55E" w:rsidR="00853FBE" w:rsidRDefault="00853FBE" w:rsidP="00853FBE">
      <w:pPr>
        <w:pStyle w:val="Textoindependiente"/>
        <w:ind w:firstLine="567"/>
        <w:rPr>
          <w:sz w:val="22"/>
          <w:szCs w:val="22"/>
        </w:rPr>
      </w:pPr>
      <w:r>
        <w:rPr>
          <w:sz w:val="22"/>
          <w:szCs w:val="22"/>
        </w:rPr>
        <w:t xml:space="preserve">Se valoran al precio de adquisición o coste de producción. El precio </w:t>
      </w:r>
      <w:r w:rsidR="008E712E">
        <w:rPr>
          <w:sz w:val="22"/>
          <w:szCs w:val="22"/>
        </w:rPr>
        <w:t>de adquisición</w:t>
      </w:r>
      <w:r>
        <w:rPr>
          <w:sz w:val="22"/>
          <w:szCs w:val="22"/>
        </w:rPr>
        <w:t xml:space="preserve"> es el importe facturado por el proveedor, deducidos los descuentos y los intereses incorporados al nominal de los débitos más los gastos adicionales para que las existencias se encuentren ubicados para su venta: transportes, aranceles, seguros y otros atribuibles a la adquisición. En cuanto al coste de producción, las existencias se valoran añadiendo al coste de adquisición de las materias primas y otras materias consumibles, los costes directamente imputables al producto y la parte que razonablemente corresponde los costes indirectamente imputables a los productos. </w:t>
      </w:r>
    </w:p>
    <w:p w14:paraId="146CEAD9" w14:textId="77777777" w:rsidR="00853FBE" w:rsidRDefault="00853FBE" w:rsidP="00853FBE">
      <w:pPr>
        <w:pStyle w:val="Textoindependiente"/>
        <w:ind w:firstLine="567"/>
        <w:rPr>
          <w:sz w:val="22"/>
          <w:szCs w:val="22"/>
        </w:rPr>
      </w:pPr>
      <w:r>
        <w:rPr>
          <w:sz w:val="22"/>
          <w:szCs w:val="22"/>
        </w:rPr>
        <w:t>La Sociedad utiliza el coste medio ponderado para la asignación de valor a las existencias.</w:t>
      </w:r>
    </w:p>
    <w:p w14:paraId="317A4D1E" w14:textId="3F073D9E" w:rsidR="00853FBE" w:rsidRDefault="00853FBE" w:rsidP="00853FBE">
      <w:pPr>
        <w:pStyle w:val="Textoindependiente"/>
        <w:ind w:firstLine="567"/>
        <w:rPr>
          <w:sz w:val="22"/>
          <w:szCs w:val="22"/>
        </w:rPr>
      </w:pPr>
      <w:r>
        <w:rPr>
          <w:sz w:val="22"/>
          <w:szCs w:val="22"/>
        </w:rPr>
        <w:t xml:space="preserve">Los impuestos indirectos que gravan las existencias sólo se incorporan al precio de adquisición o coste de producción cuando no son recuperables directamente de la Hacienda </w:t>
      </w:r>
      <w:r w:rsidR="00D4711E">
        <w:rPr>
          <w:sz w:val="22"/>
          <w:szCs w:val="22"/>
        </w:rPr>
        <w:t>Pública</w:t>
      </w:r>
      <w:r>
        <w:rPr>
          <w:sz w:val="22"/>
          <w:szCs w:val="22"/>
        </w:rPr>
        <w:t>.</w:t>
      </w:r>
    </w:p>
    <w:p w14:paraId="3BED39E9" w14:textId="77777777" w:rsidR="00853FBE" w:rsidRDefault="00853FBE" w:rsidP="00853FBE">
      <w:pPr>
        <w:pStyle w:val="Textoindependiente"/>
        <w:ind w:firstLine="567"/>
        <w:rPr>
          <w:sz w:val="22"/>
          <w:szCs w:val="22"/>
        </w:rPr>
      </w:pPr>
      <w:r>
        <w:rPr>
          <w:sz w:val="22"/>
          <w:szCs w:val="22"/>
        </w:rPr>
        <w:t>Dado que las existencias de la Sociedad no necesitan un periodo de tiempo superior a un año para estar en condiciones de ser vendidas, no se incluyen gastos financieros en el precio de adquisición o coste de producción.</w:t>
      </w:r>
    </w:p>
    <w:p w14:paraId="16D37A76" w14:textId="77777777" w:rsidR="00853FBE" w:rsidRDefault="00853FBE" w:rsidP="00853FBE">
      <w:pPr>
        <w:pStyle w:val="Textoindependiente"/>
        <w:ind w:firstLine="567"/>
        <w:rPr>
          <w:sz w:val="22"/>
          <w:szCs w:val="22"/>
        </w:rPr>
      </w:pPr>
      <w:r>
        <w:rPr>
          <w:sz w:val="22"/>
          <w:szCs w:val="22"/>
        </w:rPr>
        <w:t>Los anticipos a proveedores a cuenta de suministros futuros de existencias se valoran por su coste.</w:t>
      </w:r>
    </w:p>
    <w:p w14:paraId="4A0DBA0A" w14:textId="77777777" w:rsidR="00853FBE" w:rsidRDefault="00853FBE" w:rsidP="00853FBE">
      <w:pPr>
        <w:pStyle w:val="Textoindependiente"/>
        <w:ind w:firstLine="567"/>
        <w:rPr>
          <w:sz w:val="22"/>
          <w:szCs w:val="22"/>
        </w:rPr>
      </w:pPr>
      <w:r>
        <w:rPr>
          <w:sz w:val="22"/>
          <w:szCs w:val="22"/>
        </w:rPr>
        <w:t>La valoración de los productos obsoletos, defectuosos o de lento movimiento se reduce a su posible valor de realización.</w:t>
      </w:r>
    </w:p>
    <w:p w14:paraId="0BA6DBD1" w14:textId="77777777" w:rsidR="00853FBE" w:rsidRDefault="00853FBE" w:rsidP="00853FBE">
      <w:pPr>
        <w:pStyle w:val="Textoindependiente"/>
        <w:ind w:firstLine="567"/>
        <w:rPr>
          <w:sz w:val="22"/>
          <w:szCs w:val="22"/>
        </w:rPr>
      </w:pPr>
      <w:r>
        <w:rPr>
          <w:sz w:val="22"/>
          <w:szCs w:val="22"/>
        </w:rPr>
        <w:lastRenderedPageBreak/>
        <w:t xml:space="preserve">Cuando el valor neto realizable de las existencias es inferior a su precio de adquisición o a su coste de producción, se efectúan las oportunas correcciones valorativas reconociéndolas como un gasto en la cuenta de pérdidas y ganancias. </w:t>
      </w:r>
    </w:p>
    <w:p w14:paraId="1B4B8DA9" w14:textId="217E471A" w:rsidR="00853FBE" w:rsidRDefault="00853FBE" w:rsidP="00853FBE">
      <w:pPr>
        <w:pStyle w:val="Textoindependiente"/>
        <w:ind w:firstLine="567"/>
        <w:rPr>
          <w:sz w:val="22"/>
          <w:szCs w:val="22"/>
        </w:rPr>
      </w:pPr>
      <w:r>
        <w:rPr>
          <w:sz w:val="22"/>
          <w:szCs w:val="22"/>
        </w:rPr>
        <w:t xml:space="preserve">Si dejan de existir las circunstancias que causaron la corrección del valor de las existencias, el importe de la corrección es objeto de reversión reconociéndolo como un ingreso en la cuenta de pérdidas y </w:t>
      </w:r>
      <w:r w:rsidR="00D4711E">
        <w:rPr>
          <w:sz w:val="22"/>
          <w:szCs w:val="22"/>
        </w:rPr>
        <w:t>ganancias.</w:t>
      </w:r>
      <w:r>
        <w:rPr>
          <w:sz w:val="22"/>
          <w:szCs w:val="22"/>
        </w:rPr>
        <w:t xml:space="preserve"> </w:t>
      </w:r>
    </w:p>
    <w:p w14:paraId="3C8650BB"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07D3E297" w14:textId="77777777" w:rsidR="00853FBE" w:rsidRDefault="00853FBE" w:rsidP="00853FBE">
      <w:pPr>
        <w:pStyle w:val="Ttulo2"/>
        <w:ind w:left="0"/>
        <w:rPr>
          <w:bCs w:val="0"/>
          <w:iCs/>
          <w:sz w:val="22"/>
          <w:szCs w:val="22"/>
        </w:rPr>
      </w:pPr>
      <w:bookmarkStart w:id="27" w:name="_Toc106814585"/>
      <w:r>
        <w:rPr>
          <w:bCs w:val="0"/>
          <w:iCs/>
          <w:sz w:val="22"/>
          <w:szCs w:val="22"/>
        </w:rPr>
        <w:t>4.8. Impuestos sobre beneficios.</w:t>
      </w:r>
      <w:bookmarkEnd w:id="27"/>
    </w:p>
    <w:p w14:paraId="66A8675C" w14:textId="77777777" w:rsidR="00853FBE" w:rsidRDefault="00853FBE" w:rsidP="00853FBE">
      <w:pPr>
        <w:pStyle w:val="Textoindependiente"/>
        <w:ind w:firstLine="567"/>
        <w:rPr>
          <w:sz w:val="22"/>
          <w:szCs w:val="22"/>
        </w:rPr>
      </w:pPr>
      <w:r>
        <w:rPr>
          <w:sz w:val="22"/>
          <w:szCs w:val="22"/>
        </w:rPr>
        <w:t xml:space="preserve">El gasto por impuesto sobre beneficios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 </w:t>
      </w:r>
    </w:p>
    <w:p w14:paraId="65923093" w14:textId="77777777" w:rsidR="00853FBE" w:rsidRDefault="00853FBE" w:rsidP="00853FBE">
      <w:pPr>
        <w:pStyle w:val="Textoindependiente"/>
        <w:ind w:firstLine="567"/>
        <w:rPr>
          <w:sz w:val="22"/>
          <w:szCs w:val="22"/>
        </w:rPr>
      </w:pPr>
      <w:r>
        <w:rPr>
          <w:sz w:val="22"/>
          <w:szCs w:val="22"/>
        </w:rPr>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14:paraId="345E76C8" w14:textId="77777777" w:rsidR="00853FBE" w:rsidRDefault="00853FBE" w:rsidP="00853FBE">
      <w:pPr>
        <w:pStyle w:val="Textoindependiente"/>
        <w:ind w:firstLine="567"/>
        <w:rPr>
          <w:sz w:val="22"/>
          <w:szCs w:val="22"/>
        </w:rPr>
      </w:pPr>
      <w:r>
        <w:rPr>
          <w:sz w:val="22"/>
          <w:szCs w:val="22"/>
        </w:rPr>
        <w:t>Los activos por impuestos diferidos surgen, igualmente, como consecuencia de las bases imponibles negativas pendientes de compensar y de los créditos por deducciones fiscales generadas y no aplicadas.</w:t>
      </w:r>
    </w:p>
    <w:p w14:paraId="26FFA868" w14:textId="77777777" w:rsidR="00853FBE" w:rsidRDefault="00853FBE" w:rsidP="00853FBE">
      <w:pPr>
        <w:pStyle w:val="Textoindependiente"/>
        <w:ind w:firstLine="567"/>
        <w:rPr>
          <w:sz w:val="22"/>
          <w:szCs w:val="22"/>
        </w:rPr>
      </w:pPr>
      <w:r>
        <w:rPr>
          <w:sz w:val="22"/>
          <w:szCs w:val="22"/>
        </w:rPr>
        <w:t xml:space="preserve">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 </w:t>
      </w:r>
    </w:p>
    <w:p w14:paraId="38EC57C7" w14:textId="77777777" w:rsidR="00853FBE" w:rsidRDefault="00853FBE" w:rsidP="00853FBE">
      <w:pPr>
        <w:pStyle w:val="Textoindependiente"/>
        <w:ind w:firstLine="567"/>
        <w:rPr>
          <w:sz w:val="22"/>
          <w:szCs w:val="22"/>
        </w:rPr>
      </w:pPr>
      <w:r>
        <w:rPr>
          <w:sz w:val="22"/>
          <w:szCs w:val="22"/>
        </w:rPr>
        <w:t>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activos y pasivos en una operación que no sea una combinación de negocios y que no afecta ni al resultado fiscal ni al resultado contable. El resto de activos por impuestos diferidos (bases imponibles negativas y deducciones pendientes de compensar) solamente se reconocen en el caso de que se considere probable que la Sociedad vaya a tener en el futuro suficientes ganancias fiscales contra las que poder hacerlos efectivos.</w:t>
      </w:r>
    </w:p>
    <w:p w14:paraId="5DF03765" w14:textId="77777777" w:rsidR="00853FBE" w:rsidRDefault="00853FBE" w:rsidP="00853FBE">
      <w:pPr>
        <w:pStyle w:val="Textoindependiente"/>
        <w:ind w:firstLine="567"/>
        <w:rPr>
          <w:sz w:val="22"/>
          <w:szCs w:val="22"/>
        </w:rPr>
      </w:pPr>
      <w:r>
        <w:rPr>
          <w:sz w:val="22"/>
          <w:szCs w:val="22"/>
        </w:rP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14:paraId="638A102E" w14:textId="77777777" w:rsidR="00853FBE" w:rsidRDefault="00853FBE" w:rsidP="00853FBE">
      <w:pPr>
        <w:pStyle w:val="Textoindependiente"/>
        <w:ind w:firstLine="567"/>
        <w:rPr>
          <w:sz w:val="22"/>
          <w:szCs w:val="22"/>
        </w:rPr>
      </w:pPr>
      <w:r>
        <w:rPr>
          <w:sz w:val="22"/>
          <w:szCs w:val="22"/>
        </w:rPr>
        <w:t>El gasto o el ingreso por impuesto diferido se corresponde con el reconocimiento y la cancelación de los 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14:paraId="429BA388"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67DD64AE" w14:textId="77777777" w:rsidR="00853FBE" w:rsidRDefault="00853FBE" w:rsidP="00853FBE">
      <w:pPr>
        <w:pStyle w:val="Ttulo2"/>
        <w:ind w:left="0"/>
        <w:rPr>
          <w:bCs w:val="0"/>
          <w:iCs/>
          <w:sz w:val="22"/>
          <w:szCs w:val="22"/>
        </w:rPr>
      </w:pPr>
      <w:bookmarkStart w:id="28" w:name="_Toc106814586"/>
      <w:r>
        <w:rPr>
          <w:bCs w:val="0"/>
          <w:iCs/>
          <w:sz w:val="22"/>
          <w:szCs w:val="22"/>
        </w:rPr>
        <w:t>4.9. Ingresos y gastos.</w:t>
      </w:r>
      <w:bookmarkEnd w:id="28"/>
    </w:p>
    <w:p w14:paraId="336C63F8" w14:textId="77777777" w:rsidR="00853FBE" w:rsidRDefault="00853FBE" w:rsidP="00853FBE">
      <w:pPr>
        <w:pStyle w:val="Textoindependiente"/>
        <w:ind w:firstLine="567"/>
        <w:rPr>
          <w:sz w:val="22"/>
          <w:szCs w:val="22"/>
        </w:rPr>
      </w:pPr>
      <w:r>
        <w:rPr>
          <w:sz w:val="22"/>
          <w:szCs w:val="22"/>
        </w:rPr>
        <w:t>Los ingresos y gastos se imputan en función del criterio del devengo con independencia del momento en que se produce la corriente monetaria o financiera derivada de ellos.</w:t>
      </w:r>
    </w:p>
    <w:p w14:paraId="6043E521" w14:textId="36C301EF" w:rsidR="00853FBE" w:rsidRDefault="00853FBE" w:rsidP="00853FBE">
      <w:pPr>
        <w:pStyle w:val="Textoindependiente"/>
        <w:ind w:firstLine="567"/>
        <w:rPr>
          <w:sz w:val="22"/>
          <w:szCs w:val="22"/>
        </w:rPr>
      </w:pPr>
      <w:r>
        <w:rPr>
          <w:sz w:val="22"/>
          <w:szCs w:val="22"/>
        </w:rPr>
        <w:t xml:space="preserve">No </w:t>
      </w:r>
      <w:r w:rsidR="00D4711E">
        <w:rPr>
          <w:sz w:val="22"/>
          <w:szCs w:val="22"/>
        </w:rPr>
        <w:t>obstante, la</w:t>
      </w:r>
      <w:r>
        <w:rPr>
          <w:sz w:val="22"/>
          <w:szCs w:val="22"/>
        </w:rPr>
        <w:t xml:space="preserve"> Sociedad únicamente contabiliza los beneficios realizados a la fecha de cierre del ejercicio, en tanto que los riesgos y las pérdidas previsibles, aun siendo eventuales, se contabilizan tan pronto son conocidos.</w:t>
      </w:r>
    </w:p>
    <w:p w14:paraId="27B9FA22" w14:textId="77777777" w:rsidR="00853FBE" w:rsidRDefault="00853FBE" w:rsidP="00853FBE">
      <w:pPr>
        <w:pStyle w:val="Textoindependiente"/>
        <w:ind w:firstLine="567"/>
        <w:rPr>
          <w:sz w:val="22"/>
          <w:szCs w:val="22"/>
        </w:rPr>
      </w:pPr>
      <w:r>
        <w:rPr>
          <w:sz w:val="22"/>
          <w:szCs w:val="22"/>
        </w:rPr>
        <w:t xml:space="preserve">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w:t>
      </w:r>
    </w:p>
    <w:p w14:paraId="24BDA758" w14:textId="77777777" w:rsidR="00853FBE" w:rsidRDefault="00853FBE" w:rsidP="00853FBE">
      <w:pPr>
        <w:pStyle w:val="Textoindependiente"/>
        <w:ind w:firstLine="567"/>
        <w:rPr>
          <w:sz w:val="22"/>
          <w:szCs w:val="22"/>
        </w:rPr>
      </w:pPr>
      <w:r>
        <w:rPr>
          <w:sz w:val="22"/>
          <w:szCs w:val="22"/>
        </w:rPr>
        <w:t>Los descuentos concedidos a clientes se reconocen en el momento en que es probable que se van a cumplir las condiciones que determinan su concesión como una reducción de los ingresos por ventas.</w:t>
      </w:r>
    </w:p>
    <w:p w14:paraId="1AC9AF44" w14:textId="77777777" w:rsidR="00853FBE" w:rsidRDefault="00853FBE" w:rsidP="00853FBE">
      <w:pPr>
        <w:pStyle w:val="Textoindependiente"/>
        <w:ind w:firstLine="567"/>
        <w:rPr>
          <w:sz w:val="22"/>
          <w:szCs w:val="22"/>
        </w:rPr>
      </w:pPr>
      <w:r>
        <w:rPr>
          <w:sz w:val="22"/>
          <w:szCs w:val="22"/>
        </w:rPr>
        <w:t xml:space="preserve">Los anticipos a cuenta de ventas futuras figuran valorados por el valor recibido. </w:t>
      </w:r>
    </w:p>
    <w:p w14:paraId="46558471"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59C6BA7E" w14:textId="77777777" w:rsidR="00853FBE" w:rsidRDefault="00853FBE" w:rsidP="00853FBE">
      <w:pPr>
        <w:pStyle w:val="Ttulo2"/>
        <w:ind w:left="0"/>
        <w:rPr>
          <w:bCs w:val="0"/>
          <w:iCs/>
          <w:sz w:val="22"/>
          <w:szCs w:val="22"/>
        </w:rPr>
      </w:pPr>
      <w:bookmarkStart w:id="29" w:name="_Toc106814587"/>
      <w:r>
        <w:rPr>
          <w:bCs w:val="0"/>
          <w:iCs/>
          <w:sz w:val="22"/>
          <w:szCs w:val="22"/>
        </w:rPr>
        <w:t>4.10. Provisiones y contingencias.</w:t>
      </w:r>
      <w:bookmarkEnd w:id="29"/>
    </w:p>
    <w:p w14:paraId="37ED4CA4" w14:textId="77777777" w:rsidR="00853FBE" w:rsidRDefault="00853FBE" w:rsidP="00853FBE">
      <w:pPr>
        <w:pStyle w:val="Textoindependiente"/>
        <w:ind w:firstLine="567"/>
        <w:rPr>
          <w:sz w:val="22"/>
          <w:szCs w:val="22"/>
        </w:rPr>
      </w:pPr>
      <w:r>
        <w:rPr>
          <w:sz w:val="22"/>
          <w:szCs w:val="22"/>
        </w:rPr>
        <w:t xml:space="preserve">Las obligaciones existentes a la fecha del balance de situación surgidas como consecuencia de sucesos pasados de los que pueden derivarse perjuicios patrimoniales para la Sociedad cuyo importe y momento de cancelación son indeterminados se registran en el balance de situación como provisiones por el valor actual del importe más probable que se estima que la Sociedad tendrá que desembolsar para cancelar la obligación. </w:t>
      </w:r>
    </w:p>
    <w:p w14:paraId="25A1F364" w14:textId="67820F44" w:rsidR="00853FBE" w:rsidRDefault="00853FBE" w:rsidP="00853FBE">
      <w:pPr>
        <w:pStyle w:val="Textoindependiente"/>
        <w:ind w:firstLine="567"/>
        <w:rPr>
          <w:sz w:val="22"/>
          <w:szCs w:val="22"/>
        </w:rPr>
      </w:pPr>
      <w:r>
        <w:rPr>
          <w:sz w:val="22"/>
          <w:szCs w:val="22"/>
        </w:rPr>
        <w:t xml:space="preserve">Los pasivos contingentes son obligaciones posibles surgidas como consecuencia de sucesos pasados, cuya materialización está condicionada a que ocurra o no uno o más sucesos futuros independientes de la voluntad de la sociedad. Los pasivos contingentes, así como las provisiones cuyo importe no puede estimarse de forma fiable o que no sea muy probable que para su cancelación la Sociedad debe desprenderse de recursos que incorporan beneficios económicos, no se reconocen </w:t>
      </w:r>
      <w:r w:rsidR="00D4711E">
        <w:rPr>
          <w:sz w:val="22"/>
          <w:szCs w:val="22"/>
        </w:rPr>
        <w:t>contablemente,</w:t>
      </w:r>
      <w:r>
        <w:rPr>
          <w:sz w:val="22"/>
          <w:szCs w:val="22"/>
        </w:rPr>
        <w:t xml:space="preserve"> sino que se desglosan en la memoria. </w:t>
      </w:r>
    </w:p>
    <w:p w14:paraId="51030590" w14:textId="77777777" w:rsidR="00853FBE" w:rsidRDefault="00853FBE" w:rsidP="00853FBE">
      <w:pPr>
        <w:autoSpaceDE w:val="0"/>
        <w:autoSpaceDN w:val="0"/>
        <w:adjustRightInd w:val="0"/>
        <w:spacing w:before="0"/>
        <w:ind w:left="567" w:hanging="17"/>
        <w:jc w:val="both"/>
        <w:rPr>
          <w:rFonts w:cs="Arial"/>
          <w:i/>
          <w:color w:val="000000"/>
          <w:sz w:val="22"/>
          <w:szCs w:val="22"/>
        </w:rPr>
      </w:pPr>
    </w:p>
    <w:p w14:paraId="7BF95507" w14:textId="77777777" w:rsidR="00853FBE" w:rsidRDefault="00853FBE" w:rsidP="00853FBE">
      <w:pPr>
        <w:pStyle w:val="Ttulo2"/>
        <w:ind w:left="0"/>
        <w:rPr>
          <w:bCs w:val="0"/>
          <w:iCs/>
          <w:sz w:val="22"/>
          <w:szCs w:val="22"/>
        </w:rPr>
      </w:pPr>
      <w:bookmarkStart w:id="30" w:name="_Toc106814588"/>
      <w:r>
        <w:rPr>
          <w:bCs w:val="0"/>
          <w:iCs/>
          <w:sz w:val="22"/>
          <w:szCs w:val="22"/>
        </w:rPr>
        <w:t>4.11. Elementos patrimoniales de naturaleza medioambiental.</w:t>
      </w:r>
      <w:bookmarkEnd w:id="30"/>
    </w:p>
    <w:p w14:paraId="273FE714" w14:textId="77777777" w:rsidR="00853FBE" w:rsidRDefault="00853FBE" w:rsidP="00853FBE">
      <w:pPr>
        <w:pStyle w:val="Textoindependiente"/>
        <w:ind w:firstLine="567"/>
        <w:rPr>
          <w:sz w:val="22"/>
          <w:szCs w:val="22"/>
        </w:rPr>
      </w:pPr>
      <w:r>
        <w:rPr>
          <w:sz w:val="22"/>
          <w:szCs w:val="22"/>
        </w:rPr>
        <w:t>Los costes incurridos, en su caso, en sistemas, equipos e instalaciones cuyo fin sea la minimización del impacto medioambiental en el desarrollo de la actividad, y/o la protección y mejora del medio ambiente se registran como inversiones en inmovilizado.</w:t>
      </w:r>
    </w:p>
    <w:p w14:paraId="5990B5B8" w14:textId="77777777" w:rsidR="00853FBE" w:rsidRDefault="00853FBE" w:rsidP="00853FBE">
      <w:pPr>
        <w:pStyle w:val="Textoindependiente"/>
        <w:ind w:firstLine="567"/>
        <w:rPr>
          <w:sz w:val="22"/>
          <w:szCs w:val="22"/>
        </w:rPr>
      </w:pPr>
      <w:r>
        <w:rPr>
          <w:sz w:val="22"/>
          <w:szCs w:val="22"/>
        </w:rPr>
        <w:t>El resto de gastos relacionados con el medio ambiente, distintos de los anteriores, se consideran gastos del ejercicio. Para el cálculo de posibles provisiones medioambientales que pudieran surgir se dota de acuerdo a la mejor estimación de su devengo en el momento que se conozcan, y en el supuesto de que las pólizas de seguro no cubran los daños causados.</w:t>
      </w:r>
    </w:p>
    <w:p w14:paraId="1F982A50" w14:textId="040A614B" w:rsidR="00853FBE" w:rsidRDefault="00853FBE" w:rsidP="00853FBE">
      <w:pPr>
        <w:pStyle w:val="Textoindependiente"/>
        <w:ind w:firstLine="567"/>
        <w:rPr>
          <w:sz w:val="22"/>
          <w:szCs w:val="22"/>
        </w:rPr>
      </w:pPr>
      <w:r>
        <w:rPr>
          <w:sz w:val="22"/>
          <w:szCs w:val="22"/>
        </w:rPr>
        <w:t xml:space="preserve">La administradora confirma </w:t>
      </w:r>
      <w:r w:rsidR="00D4711E">
        <w:rPr>
          <w:sz w:val="22"/>
          <w:szCs w:val="22"/>
        </w:rPr>
        <w:t>que la</w:t>
      </w:r>
      <w:r>
        <w:rPr>
          <w:sz w:val="22"/>
          <w:szCs w:val="22"/>
        </w:rPr>
        <w:t xml:space="preserve"> Sociedad no tiene responsabilidades, gastos, activos, ni provisiones y contingencias de naturaleza medioambiental que pudieran ser </w:t>
      </w:r>
      <w:r>
        <w:rPr>
          <w:sz w:val="22"/>
          <w:szCs w:val="22"/>
        </w:rPr>
        <w:lastRenderedPageBreak/>
        <w:t xml:space="preserve">significativos en relación con el patrimonio, la situación financiera y los resultados del mismo. </w:t>
      </w:r>
    </w:p>
    <w:p w14:paraId="1C3B0133" w14:textId="77777777" w:rsidR="00853FBE" w:rsidRDefault="00853FBE" w:rsidP="00853FBE">
      <w:pPr>
        <w:pStyle w:val="Ttulo2"/>
        <w:ind w:left="0"/>
        <w:rPr>
          <w:bCs w:val="0"/>
          <w:iCs/>
          <w:sz w:val="22"/>
          <w:szCs w:val="22"/>
        </w:rPr>
      </w:pPr>
      <w:bookmarkStart w:id="31" w:name="_Toc106814589"/>
      <w:r>
        <w:rPr>
          <w:bCs w:val="0"/>
          <w:iCs/>
          <w:sz w:val="22"/>
          <w:szCs w:val="22"/>
        </w:rPr>
        <w:t>4.12. Criterios empleados para el registro y valoración de los gastos de personal.</w:t>
      </w:r>
      <w:bookmarkEnd w:id="31"/>
    </w:p>
    <w:p w14:paraId="1EA9BEE5" w14:textId="77777777" w:rsidR="00853FBE" w:rsidRDefault="00853FBE" w:rsidP="00853FBE">
      <w:pPr>
        <w:pStyle w:val="Textoindependiente"/>
        <w:ind w:firstLine="567"/>
        <w:rPr>
          <w:sz w:val="22"/>
          <w:szCs w:val="22"/>
        </w:rPr>
      </w:pPr>
      <w:r>
        <w:rPr>
          <w:sz w:val="22"/>
          <w:szCs w:val="22"/>
        </w:rPr>
        <w:t xml:space="preserve">Para el caso de las retribuciones por prestación definida las contribuciones a realizar dan lugar a un pasivo por retribuciones a largo plazo al personal cuando, al cierre del ejercicio, figuren contribuciones devengadas no satisfechas. </w:t>
      </w:r>
    </w:p>
    <w:p w14:paraId="710D27F6" w14:textId="77777777" w:rsidR="00853FBE" w:rsidRDefault="00853FBE" w:rsidP="00853FBE">
      <w:pPr>
        <w:pStyle w:val="Textoindependiente"/>
        <w:ind w:firstLine="567"/>
        <w:rPr>
          <w:sz w:val="22"/>
          <w:szCs w:val="22"/>
        </w:rPr>
      </w:pPr>
      <w:r>
        <w:rPr>
          <w:sz w:val="22"/>
          <w:szCs w:val="22"/>
        </w:rPr>
        <w:t>El importe que se reconoce como provisión por retribuciones al personal a largo plazo es la diferencia entre el valor actual de las retribuciones comprometidas y el valor razonable de los eventuales activos afectos a los compromisos con los que se liquidarán las obligaciones.</w:t>
      </w:r>
    </w:p>
    <w:p w14:paraId="20C3013B" w14:textId="77777777" w:rsidR="00853FBE" w:rsidRDefault="00853FBE" w:rsidP="00853FBE">
      <w:pPr>
        <w:pStyle w:val="Textoindependiente"/>
        <w:ind w:firstLine="567"/>
        <w:rPr>
          <w:sz w:val="22"/>
          <w:szCs w:val="22"/>
        </w:rPr>
      </w:pPr>
      <w:r>
        <w:rPr>
          <w:sz w:val="22"/>
          <w:szCs w:val="22"/>
        </w:rPr>
        <w:t>Ante la ausencia de cualquier necesidad previsible de terminación anormal del empleo y dado que no reciben indemnizaciones aquellos empleados que cesan voluntariamente en sus servicios, los pagos por indemnizaciones, cuando surgen, se cargan a gastos en el momento en que se toma la decisión de efectuar el despido.</w:t>
      </w:r>
    </w:p>
    <w:p w14:paraId="14466818" w14:textId="77777777" w:rsidR="00853FBE" w:rsidRDefault="00853FBE" w:rsidP="00853FBE">
      <w:pPr>
        <w:pStyle w:val="Ttulo2"/>
        <w:ind w:left="0"/>
        <w:rPr>
          <w:bCs w:val="0"/>
          <w:iCs/>
          <w:sz w:val="22"/>
          <w:szCs w:val="22"/>
        </w:rPr>
      </w:pPr>
      <w:bookmarkStart w:id="32" w:name="_Toc106814590"/>
      <w:r>
        <w:rPr>
          <w:bCs w:val="0"/>
          <w:iCs/>
          <w:sz w:val="22"/>
          <w:szCs w:val="22"/>
        </w:rPr>
        <w:t>4.13.</w:t>
      </w:r>
      <w:r>
        <w:t xml:space="preserve"> </w:t>
      </w:r>
      <w:r>
        <w:rPr>
          <w:bCs w:val="0"/>
          <w:iCs/>
          <w:sz w:val="22"/>
          <w:szCs w:val="22"/>
        </w:rPr>
        <w:t>Pagos basados en acciones.</w:t>
      </w:r>
      <w:bookmarkEnd w:id="32"/>
    </w:p>
    <w:p w14:paraId="6C142C78" w14:textId="77777777" w:rsidR="00853FBE" w:rsidRPr="001378CD" w:rsidRDefault="00853FBE" w:rsidP="00853FBE">
      <w:pPr>
        <w:pStyle w:val="Textoindependiente"/>
        <w:ind w:left="567"/>
        <w:rPr>
          <w:i/>
          <w:sz w:val="22"/>
          <w:szCs w:val="22"/>
        </w:rPr>
      </w:pPr>
      <w:r w:rsidRPr="001378CD">
        <w:rPr>
          <w:sz w:val="22"/>
          <w:szCs w:val="22"/>
        </w:rPr>
        <w:t xml:space="preserve">La Sociedad no realiza pagos basados en acciones. </w:t>
      </w:r>
    </w:p>
    <w:p w14:paraId="20ED56DC" w14:textId="77777777" w:rsidR="00853FBE" w:rsidRDefault="00853FBE" w:rsidP="00853FBE">
      <w:pPr>
        <w:pStyle w:val="Ttulo2"/>
        <w:ind w:left="0"/>
        <w:rPr>
          <w:bCs w:val="0"/>
          <w:iCs/>
          <w:sz w:val="22"/>
          <w:szCs w:val="22"/>
        </w:rPr>
      </w:pPr>
      <w:bookmarkStart w:id="33" w:name="_Toc106814591"/>
      <w:r>
        <w:rPr>
          <w:bCs w:val="0"/>
          <w:iCs/>
          <w:sz w:val="22"/>
          <w:szCs w:val="22"/>
        </w:rPr>
        <w:t>4.14.</w:t>
      </w:r>
      <w:r>
        <w:t xml:space="preserve"> </w:t>
      </w:r>
      <w:r>
        <w:rPr>
          <w:bCs w:val="0"/>
          <w:iCs/>
          <w:sz w:val="22"/>
          <w:szCs w:val="22"/>
        </w:rPr>
        <w:t>Subvenciones, donaciones y legados.</w:t>
      </w:r>
      <w:bookmarkEnd w:id="33"/>
    </w:p>
    <w:p w14:paraId="4C29F204" w14:textId="77777777" w:rsidR="00853FBE" w:rsidRDefault="00853FBE" w:rsidP="00853FBE">
      <w:pPr>
        <w:pStyle w:val="Textoindependiente"/>
        <w:ind w:firstLine="567"/>
        <w:rPr>
          <w:sz w:val="22"/>
          <w:szCs w:val="22"/>
        </w:rPr>
      </w:pPr>
      <w:r>
        <w:rPr>
          <w:sz w:val="22"/>
          <w:szCs w:val="22"/>
        </w:rPr>
        <w:t>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14:paraId="003650DC" w14:textId="77777777" w:rsidR="00853FBE" w:rsidRDefault="00853FBE" w:rsidP="00853FBE">
      <w:pPr>
        <w:pStyle w:val="Textoindependiente"/>
        <w:ind w:firstLine="567"/>
        <w:rPr>
          <w:sz w:val="22"/>
          <w:szCs w:val="22"/>
        </w:rPr>
      </w:pPr>
      <w:r>
        <w:rPr>
          <w:sz w:val="22"/>
          <w:szCs w:val="22"/>
        </w:rPr>
        <w:t>Mientras tienen el carácter de subvenciones reintegrables se contabilizan como deudas a largo plazo transformables en subvenciones.</w:t>
      </w:r>
    </w:p>
    <w:p w14:paraId="3EC8AD63" w14:textId="77777777" w:rsidR="00853FBE" w:rsidRDefault="00853FBE" w:rsidP="00853FBE">
      <w:pPr>
        <w:pStyle w:val="Textoindependiente"/>
        <w:ind w:firstLine="567"/>
        <w:rPr>
          <w:sz w:val="22"/>
          <w:szCs w:val="22"/>
        </w:rPr>
      </w:pPr>
      <w:r>
        <w:rPr>
          <w:sz w:val="22"/>
          <w:szCs w:val="22"/>
        </w:rPr>
        <w:t xml:space="preserve">Cuando las subvenciones se concedan para financiar gastos específicos se imputarán como ingresos en el ejercicio en que se devenguen los gastos que están financiando. </w:t>
      </w:r>
    </w:p>
    <w:p w14:paraId="1574B2CB" w14:textId="77777777" w:rsidR="00853FBE" w:rsidRDefault="00853FBE" w:rsidP="00853FBE">
      <w:pPr>
        <w:pStyle w:val="Ttulo2"/>
        <w:ind w:left="0"/>
        <w:rPr>
          <w:bCs w:val="0"/>
          <w:iCs/>
          <w:sz w:val="22"/>
          <w:szCs w:val="22"/>
        </w:rPr>
      </w:pPr>
      <w:bookmarkStart w:id="34" w:name="_Toc106814592"/>
      <w:r>
        <w:rPr>
          <w:bCs w:val="0"/>
          <w:iCs/>
          <w:sz w:val="22"/>
          <w:szCs w:val="22"/>
        </w:rPr>
        <w:t>4.15.</w:t>
      </w:r>
      <w:r>
        <w:t xml:space="preserve"> </w:t>
      </w:r>
      <w:r>
        <w:rPr>
          <w:bCs w:val="0"/>
          <w:iCs/>
          <w:sz w:val="22"/>
          <w:szCs w:val="22"/>
        </w:rPr>
        <w:t>Criterios empleados en transacciones entre partes vinculadas.</w:t>
      </w:r>
      <w:bookmarkEnd w:id="34"/>
    </w:p>
    <w:p w14:paraId="38FBE5D8" w14:textId="77777777" w:rsidR="00853FBE" w:rsidRDefault="00853FBE" w:rsidP="00853FBE">
      <w:pPr>
        <w:pStyle w:val="Textoindependiente"/>
        <w:ind w:firstLine="708"/>
        <w:rPr>
          <w:sz w:val="22"/>
          <w:szCs w:val="22"/>
        </w:rPr>
      </w:pPr>
      <w:r>
        <w:rPr>
          <w:sz w:val="22"/>
          <w:szCs w:val="22"/>
        </w:rPr>
        <w:t>Esta norma de valoración afecta a las partes vinculadas que se explicitan en la Norma 13ª de elaboración de las cuentas anuales del Plan General de Contabilidad. En este sentido:</w:t>
      </w:r>
    </w:p>
    <w:p w14:paraId="32AD6FFA" w14:textId="77777777" w:rsidR="00853FBE" w:rsidRDefault="00853FBE" w:rsidP="00853FBE">
      <w:pPr>
        <w:pStyle w:val="Textoindependiente"/>
        <w:numPr>
          <w:ilvl w:val="1"/>
          <w:numId w:val="10"/>
        </w:numPr>
        <w:ind w:left="1320"/>
        <w:rPr>
          <w:sz w:val="22"/>
          <w:szCs w:val="22"/>
        </w:rPr>
      </w:pPr>
      <w:r>
        <w:rPr>
          <w:sz w:val="22"/>
          <w:szCs w:val="22"/>
        </w:rPr>
        <w:t>Se entenderá que una empresa forma parte del grupo cuando ambas estén vinculadas por una relación de control, directa o indirecta, análoga a la prevista en el artículo 42 del Código de Comercio, o cuando las empresas estén controladas por cualquier medio por una o varias personas jurídicas que actúen conjuntamente o se hallen bajo dirección única por acuerdos o cláusulas estatutarias.</w:t>
      </w:r>
    </w:p>
    <w:p w14:paraId="42ADA1DC" w14:textId="77777777" w:rsidR="00853FBE" w:rsidRDefault="00853FBE" w:rsidP="00853FBE">
      <w:pPr>
        <w:pStyle w:val="Textoindependiente"/>
        <w:numPr>
          <w:ilvl w:val="1"/>
          <w:numId w:val="10"/>
        </w:numPr>
        <w:ind w:left="1200" w:hanging="240"/>
        <w:rPr>
          <w:sz w:val="22"/>
          <w:szCs w:val="22"/>
        </w:rPr>
      </w:pPr>
      <w:r>
        <w:rPr>
          <w:sz w:val="22"/>
          <w:szCs w:val="22"/>
        </w:rPr>
        <w:t>Se entenderá que una empresa es asociada cuando, sin que se trate de una empresa del grupo en el sentido señalado, la empresa o las personas físicas dominantes, ejerzan sobre esa empresa asociada una influencia significativa, tal como se desarrolla detenidamente en la citada Norma 13ª de elaboración de cuentas anuales.</w:t>
      </w:r>
    </w:p>
    <w:p w14:paraId="1A275F2C" w14:textId="77777777" w:rsidR="00853FBE" w:rsidRDefault="00853FBE" w:rsidP="00853FBE">
      <w:pPr>
        <w:pStyle w:val="Textoindependiente"/>
        <w:numPr>
          <w:ilvl w:val="1"/>
          <w:numId w:val="10"/>
        </w:numPr>
        <w:ind w:left="1200" w:hanging="240"/>
        <w:rPr>
          <w:sz w:val="22"/>
          <w:szCs w:val="22"/>
        </w:rPr>
      </w:pPr>
      <w:r>
        <w:rPr>
          <w:sz w:val="22"/>
          <w:szCs w:val="22"/>
        </w:rPr>
        <w:lastRenderedPageBreak/>
        <w:t xml:space="preserve">Una parte se considera vinculada a otra cuando una de ellas ejerce o tiene la posibilidad de ejercer directa o indirectamente o en virtud de pactos o acuerdos entre accionistas o partícipes, el control sobre otra o una influencia significativa en la toma de decisiones financieras y de explotación de la otra, tal como se detalla detenidamente en la Norma 15ª de elaboración de cuentas anuales. </w:t>
      </w:r>
    </w:p>
    <w:p w14:paraId="737AE430" w14:textId="77777777" w:rsidR="00853FBE" w:rsidRDefault="00853FBE" w:rsidP="00853FBE">
      <w:pPr>
        <w:pStyle w:val="Textoindependiente"/>
        <w:rPr>
          <w:sz w:val="22"/>
          <w:szCs w:val="22"/>
        </w:rPr>
      </w:pPr>
      <w:r>
        <w:rPr>
          <w:sz w:val="22"/>
          <w:szCs w:val="22"/>
        </w:rPr>
        <w:t xml:space="preserve">En el supuesto de existir las operaciones entre empresas del mismo grupo, con independencia del grado de vinculación, se contabilizarán de acuerdo con las normas generales. Los elementos objeto de las transacciones que se realicen se contabilizarán en el momento inicial por su valor razonable. La valoración posterior se realiza de acuerdo con lo previsto en las normas particulares para las cuentas que corresponda. </w:t>
      </w:r>
    </w:p>
    <w:p w14:paraId="6F7BB9D0" w14:textId="00E91537" w:rsidR="00853FBE" w:rsidRDefault="00853FBE" w:rsidP="00853FBE">
      <w:pPr>
        <w:pStyle w:val="Ttulo1"/>
        <w:spacing w:before="360" w:after="120"/>
        <w:ind w:left="567" w:hanging="567"/>
        <w:jc w:val="both"/>
        <w:rPr>
          <w:sz w:val="22"/>
          <w:szCs w:val="22"/>
        </w:rPr>
      </w:pPr>
      <w:bookmarkStart w:id="35" w:name="_Toc106814593"/>
      <w:r>
        <w:rPr>
          <w:sz w:val="22"/>
          <w:szCs w:val="22"/>
        </w:rPr>
        <w:t xml:space="preserve">5. </w:t>
      </w:r>
      <w:r>
        <w:rPr>
          <w:sz w:val="22"/>
          <w:szCs w:val="22"/>
        </w:rPr>
        <w:tab/>
        <w:t>Inmovilizado material</w:t>
      </w:r>
      <w:bookmarkEnd w:id="35"/>
    </w:p>
    <w:p w14:paraId="78944EB4" w14:textId="77777777" w:rsidR="00853FBE" w:rsidRDefault="00853FBE" w:rsidP="00853FBE">
      <w:pPr>
        <w:pStyle w:val="Textoindependiente"/>
        <w:ind w:firstLine="567"/>
        <w:rPr>
          <w:sz w:val="22"/>
          <w:szCs w:val="22"/>
        </w:rPr>
      </w:pPr>
      <w:r>
        <w:rPr>
          <w:sz w:val="22"/>
          <w:szCs w:val="22"/>
        </w:rPr>
        <w:t>El movimiento habido en este capítulo del balance de situación adjunto es el siguiente:</w:t>
      </w:r>
    </w:p>
    <w:bookmarkStart w:id="36" w:name="_MON_1486159253"/>
    <w:bookmarkEnd w:id="36"/>
    <w:bookmarkStart w:id="37" w:name="_MON_1329922190"/>
    <w:bookmarkEnd w:id="37"/>
    <w:p w14:paraId="6C9C5031" w14:textId="48242602" w:rsidR="00853FBE" w:rsidRDefault="008A3C5D" w:rsidP="00853FBE">
      <w:pPr>
        <w:pStyle w:val="Textoindependiente"/>
        <w:ind w:left="-600"/>
      </w:pPr>
      <w:r w:rsidRPr="00EA0F71">
        <w:rPr>
          <w:rFonts w:ascii="Calibri" w:hAnsi="Calibri"/>
          <w:sz w:val="18"/>
          <w:szCs w:val="18"/>
        </w:rPr>
        <w:object w:dxaOrig="10392" w:dyaOrig="8356" w14:anchorId="61FFEF81">
          <v:shape id="_x0000_i1026" type="#_x0000_t75" style="width:511.5pt;height:446.25pt" o:ole="">
            <v:imagedata r:id="rId11" o:title=""/>
          </v:shape>
          <o:OLEObject Type="Embed" ProgID="Excel.Sheet.8" ShapeID="_x0000_i1026" DrawAspect="Content" ObjectID="_1717427607" r:id="rId12"/>
        </w:object>
      </w:r>
    </w:p>
    <w:p w14:paraId="43BD4AEE" w14:textId="48FAB26E" w:rsidR="00853FBE" w:rsidRDefault="00853FBE" w:rsidP="00853FBE">
      <w:pPr>
        <w:pStyle w:val="Textoindependiente"/>
        <w:ind w:firstLine="567"/>
        <w:rPr>
          <w:sz w:val="22"/>
          <w:szCs w:val="22"/>
        </w:rPr>
      </w:pPr>
      <w:r>
        <w:rPr>
          <w:sz w:val="22"/>
          <w:szCs w:val="22"/>
        </w:rPr>
        <w:t xml:space="preserve">Del detalle anterior, el valor </w:t>
      </w:r>
      <w:r w:rsidR="009530E6">
        <w:rPr>
          <w:sz w:val="22"/>
          <w:szCs w:val="22"/>
        </w:rPr>
        <w:t>de coste</w:t>
      </w:r>
      <w:r>
        <w:rPr>
          <w:sz w:val="22"/>
          <w:szCs w:val="22"/>
        </w:rPr>
        <w:t xml:space="preserve"> de construcción asciende </w:t>
      </w:r>
      <w:r w:rsidR="00C24673">
        <w:rPr>
          <w:sz w:val="22"/>
          <w:szCs w:val="22"/>
        </w:rPr>
        <w:t xml:space="preserve">a </w:t>
      </w:r>
      <w:r w:rsidR="009530E6">
        <w:rPr>
          <w:sz w:val="22"/>
          <w:szCs w:val="22"/>
        </w:rPr>
        <w:t>19.</w:t>
      </w:r>
      <w:r w:rsidR="00460ABD">
        <w:rPr>
          <w:sz w:val="22"/>
          <w:szCs w:val="22"/>
        </w:rPr>
        <w:t>582.125,57</w:t>
      </w:r>
      <w:r w:rsidR="009530E6">
        <w:rPr>
          <w:sz w:val="22"/>
          <w:szCs w:val="22"/>
        </w:rPr>
        <w:t xml:space="preserve"> € (valor neto 12.</w:t>
      </w:r>
      <w:r w:rsidR="00460ABD">
        <w:rPr>
          <w:sz w:val="22"/>
          <w:szCs w:val="22"/>
        </w:rPr>
        <w:t>319.116,06</w:t>
      </w:r>
      <w:r>
        <w:rPr>
          <w:sz w:val="22"/>
          <w:szCs w:val="22"/>
        </w:rPr>
        <w:t xml:space="preserve"> euros</w:t>
      </w:r>
      <w:r w:rsidR="009530E6">
        <w:rPr>
          <w:sz w:val="22"/>
          <w:szCs w:val="22"/>
        </w:rPr>
        <w:t>)</w:t>
      </w:r>
      <w:r>
        <w:rPr>
          <w:sz w:val="22"/>
          <w:szCs w:val="22"/>
        </w:rPr>
        <w:t xml:space="preserve"> y el del terreno de los inmuebles a </w:t>
      </w:r>
      <w:r w:rsidR="001C1C1E">
        <w:rPr>
          <w:sz w:val="22"/>
          <w:szCs w:val="22"/>
        </w:rPr>
        <w:t>3.</w:t>
      </w:r>
      <w:r w:rsidR="009A349B">
        <w:rPr>
          <w:sz w:val="22"/>
          <w:szCs w:val="22"/>
        </w:rPr>
        <w:t>0</w:t>
      </w:r>
      <w:r w:rsidR="00CF3C56">
        <w:rPr>
          <w:sz w:val="22"/>
          <w:szCs w:val="22"/>
        </w:rPr>
        <w:t>91</w:t>
      </w:r>
      <w:r w:rsidR="009A349B">
        <w:rPr>
          <w:sz w:val="22"/>
          <w:szCs w:val="22"/>
        </w:rPr>
        <w:t>.</w:t>
      </w:r>
      <w:r w:rsidR="00CF3C56">
        <w:rPr>
          <w:sz w:val="22"/>
          <w:szCs w:val="22"/>
        </w:rPr>
        <w:t>581</w:t>
      </w:r>
      <w:r w:rsidR="009A349B">
        <w:rPr>
          <w:sz w:val="22"/>
          <w:szCs w:val="22"/>
        </w:rPr>
        <w:t>,</w:t>
      </w:r>
      <w:r w:rsidR="00CF3C56">
        <w:rPr>
          <w:sz w:val="22"/>
          <w:szCs w:val="22"/>
        </w:rPr>
        <w:t>4</w:t>
      </w:r>
      <w:r w:rsidR="009A349B">
        <w:rPr>
          <w:sz w:val="22"/>
          <w:szCs w:val="22"/>
        </w:rPr>
        <w:t>2</w:t>
      </w:r>
      <w:r>
        <w:rPr>
          <w:sz w:val="22"/>
          <w:szCs w:val="22"/>
        </w:rPr>
        <w:t xml:space="preserve"> euros. </w:t>
      </w:r>
      <w:r w:rsidRPr="00F776A1">
        <w:rPr>
          <w:sz w:val="22"/>
          <w:szCs w:val="22"/>
        </w:rPr>
        <w:t xml:space="preserve"> En </w:t>
      </w:r>
      <w:r w:rsidR="000253BC">
        <w:rPr>
          <w:sz w:val="22"/>
          <w:szCs w:val="22"/>
        </w:rPr>
        <w:t>2020</w:t>
      </w:r>
      <w:r w:rsidRPr="00F776A1">
        <w:rPr>
          <w:sz w:val="22"/>
          <w:szCs w:val="22"/>
        </w:rPr>
        <w:t>, el valor de</w:t>
      </w:r>
      <w:r w:rsidR="009530E6">
        <w:rPr>
          <w:sz w:val="22"/>
          <w:szCs w:val="22"/>
        </w:rPr>
        <w:t xml:space="preserve"> coste de </w:t>
      </w:r>
      <w:r w:rsidRPr="00F776A1">
        <w:rPr>
          <w:sz w:val="22"/>
          <w:szCs w:val="22"/>
        </w:rPr>
        <w:t xml:space="preserve">construcción </w:t>
      </w:r>
      <w:r w:rsidR="009530E6">
        <w:rPr>
          <w:sz w:val="22"/>
          <w:szCs w:val="22"/>
        </w:rPr>
        <w:t xml:space="preserve">era de 19.314.814,40 </w:t>
      </w:r>
      <w:r w:rsidR="009530E6" w:rsidRPr="00F776A1">
        <w:rPr>
          <w:sz w:val="22"/>
          <w:szCs w:val="22"/>
        </w:rPr>
        <w:t xml:space="preserve">euros </w:t>
      </w:r>
      <w:r w:rsidR="009530E6">
        <w:rPr>
          <w:sz w:val="22"/>
          <w:szCs w:val="22"/>
        </w:rPr>
        <w:t xml:space="preserve">(valor neto </w:t>
      </w:r>
      <w:r w:rsidR="00460ABD">
        <w:rPr>
          <w:sz w:val="22"/>
          <w:szCs w:val="22"/>
        </w:rPr>
        <w:t xml:space="preserve">12.675.478,86 </w:t>
      </w:r>
      <w:r w:rsidR="009530E6">
        <w:rPr>
          <w:sz w:val="22"/>
          <w:szCs w:val="22"/>
        </w:rPr>
        <w:t xml:space="preserve">euros) </w:t>
      </w:r>
      <w:r w:rsidRPr="00F776A1">
        <w:rPr>
          <w:sz w:val="22"/>
          <w:szCs w:val="22"/>
        </w:rPr>
        <w:t xml:space="preserve">y </w:t>
      </w:r>
      <w:r w:rsidR="009530E6">
        <w:rPr>
          <w:sz w:val="22"/>
          <w:szCs w:val="22"/>
        </w:rPr>
        <w:t xml:space="preserve">el </w:t>
      </w:r>
      <w:r w:rsidRPr="00F776A1">
        <w:rPr>
          <w:sz w:val="22"/>
          <w:szCs w:val="22"/>
        </w:rPr>
        <w:t xml:space="preserve">del terreno de los inmuebles de </w:t>
      </w:r>
      <w:r w:rsidR="009530E6">
        <w:rPr>
          <w:sz w:val="22"/>
          <w:szCs w:val="22"/>
        </w:rPr>
        <w:t xml:space="preserve">3.091.581,42 </w:t>
      </w:r>
      <w:r w:rsidRPr="00F776A1">
        <w:rPr>
          <w:sz w:val="22"/>
          <w:szCs w:val="22"/>
        </w:rPr>
        <w:t>euros.</w:t>
      </w:r>
      <w:r w:rsidR="009530E6">
        <w:rPr>
          <w:sz w:val="22"/>
          <w:szCs w:val="22"/>
        </w:rPr>
        <w:t xml:space="preserve"> </w:t>
      </w:r>
    </w:p>
    <w:p w14:paraId="4FF0724A" w14:textId="77777777" w:rsidR="00853FBE" w:rsidRDefault="00853FBE" w:rsidP="00853FBE">
      <w:pPr>
        <w:pStyle w:val="Textoindependiente"/>
        <w:ind w:firstLine="567"/>
        <w:rPr>
          <w:sz w:val="22"/>
          <w:szCs w:val="22"/>
        </w:rPr>
      </w:pPr>
      <w:r>
        <w:rPr>
          <w:sz w:val="22"/>
          <w:szCs w:val="22"/>
        </w:rPr>
        <w:t xml:space="preserve">No se han contabilizado costes de desmantelamiento, retiro o rehabilitación durante el ejercicio. </w:t>
      </w:r>
    </w:p>
    <w:p w14:paraId="67683EFB" w14:textId="77777777" w:rsidR="00B04AB0" w:rsidRPr="00B04AB0" w:rsidRDefault="00B04AB0" w:rsidP="00B04AB0">
      <w:pPr>
        <w:pStyle w:val="Textoindependiente"/>
        <w:ind w:firstLine="567"/>
        <w:rPr>
          <w:sz w:val="22"/>
          <w:szCs w:val="22"/>
        </w:rPr>
      </w:pPr>
      <w:r w:rsidRPr="00B04AB0">
        <w:rPr>
          <w:sz w:val="22"/>
          <w:szCs w:val="22"/>
        </w:rPr>
        <w:t>No se han realizado cambios de estimación que afecten a valores residuales, costes estimados de desmantelamiento, retiro o rehabilitación, vidas útiles y métodos de amortización.</w:t>
      </w:r>
    </w:p>
    <w:p w14:paraId="5590E6D6" w14:textId="77777777" w:rsidR="00853FBE" w:rsidRDefault="00853FBE" w:rsidP="00853FBE">
      <w:pPr>
        <w:pStyle w:val="Textoindependiente"/>
        <w:ind w:firstLine="567"/>
        <w:rPr>
          <w:sz w:val="22"/>
          <w:szCs w:val="22"/>
        </w:rPr>
      </w:pPr>
      <w:r>
        <w:rPr>
          <w:sz w:val="22"/>
          <w:szCs w:val="22"/>
        </w:rPr>
        <w:t xml:space="preserve">No se han adquirido elementos del inmovilizado material a empresas del grupo y asociadas. </w:t>
      </w:r>
    </w:p>
    <w:p w14:paraId="32F4838C" w14:textId="77777777" w:rsidR="00853FBE" w:rsidRDefault="00853FBE" w:rsidP="00853FBE">
      <w:pPr>
        <w:pStyle w:val="Textoindependiente"/>
        <w:ind w:firstLine="567"/>
        <w:rPr>
          <w:sz w:val="22"/>
          <w:szCs w:val="22"/>
        </w:rPr>
      </w:pPr>
      <w:r>
        <w:rPr>
          <w:sz w:val="22"/>
          <w:szCs w:val="22"/>
        </w:rPr>
        <w:t xml:space="preserve">No se dispone de inversiones en inmovilizado material situadas fuera del territorio español. </w:t>
      </w:r>
    </w:p>
    <w:p w14:paraId="0270A0BE" w14:textId="478DD057" w:rsidR="004A4F75" w:rsidRPr="004A4F75" w:rsidRDefault="00853FBE" w:rsidP="004A4F75">
      <w:pPr>
        <w:pStyle w:val="Textoindependiente"/>
        <w:ind w:firstLine="567"/>
        <w:rPr>
          <w:sz w:val="22"/>
          <w:szCs w:val="22"/>
          <w:lang w:val="es-ES_tradnl"/>
        </w:rPr>
      </w:pPr>
      <w:r>
        <w:rPr>
          <w:sz w:val="22"/>
          <w:szCs w:val="22"/>
        </w:rPr>
        <w:lastRenderedPageBreak/>
        <w:t>No se han capitalizado gastos f</w:t>
      </w:r>
      <w:r w:rsidR="004A4F75">
        <w:rPr>
          <w:sz w:val="22"/>
          <w:szCs w:val="22"/>
        </w:rPr>
        <w:t>inancieros durante el ejercicio,</w:t>
      </w:r>
      <w:r w:rsidR="004A4F75" w:rsidRPr="004A4F75">
        <w:rPr>
          <w:rFonts w:ascii="Calibri" w:hAnsi="Calibri"/>
          <w:sz w:val="22"/>
          <w:szCs w:val="22"/>
          <w:lang w:val="es-ES_tradnl" w:eastAsia="en-US"/>
        </w:rPr>
        <w:t xml:space="preserve"> </w:t>
      </w:r>
      <w:r w:rsidR="004A4F75" w:rsidRPr="004A4F75">
        <w:rPr>
          <w:sz w:val="22"/>
          <w:szCs w:val="22"/>
          <w:lang w:val="es-ES_tradnl"/>
        </w:rPr>
        <w:t>si bien la sociedad realiza inversiones que tardan más de un año en entrar en funcionamiento, no se acude a la financiación ajena para financiar dichos activos.</w:t>
      </w:r>
    </w:p>
    <w:p w14:paraId="3F4B0752" w14:textId="267E74CC" w:rsidR="00853FBE" w:rsidRDefault="00853FBE" w:rsidP="00853FBE">
      <w:pPr>
        <w:pStyle w:val="Textoindependiente"/>
        <w:ind w:firstLine="567"/>
        <w:rPr>
          <w:sz w:val="22"/>
          <w:szCs w:val="22"/>
        </w:rPr>
      </w:pPr>
      <w:r>
        <w:rPr>
          <w:sz w:val="22"/>
          <w:szCs w:val="22"/>
        </w:rPr>
        <w:t xml:space="preserve"> No se han realizado correcciones valorativas por deterioro de cuantía significativa. </w:t>
      </w:r>
    </w:p>
    <w:p w14:paraId="3C64AE7B" w14:textId="77777777" w:rsidR="00853FBE" w:rsidRDefault="00853FBE" w:rsidP="00853FBE">
      <w:pPr>
        <w:pStyle w:val="Textoindependiente"/>
        <w:ind w:firstLine="567"/>
        <w:rPr>
          <w:sz w:val="22"/>
          <w:szCs w:val="22"/>
        </w:rPr>
      </w:pPr>
      <w:r>
        <w:rPr>
          <w:sz w:val="22"/>
          <w:szCs w:val="22"/>
        </w:rPr>
        <w:t>No existen compensaciones de terceros que se incluyan en el resultado del ejercicio.</w:t>
      </w:r>
    </w:p>
    <w:p w14:paraId="7D86686A" w14:textId="77777777" w:rsidR="00853FBE" w:rsidRDefault="00853FBE" w:rsidP="00853FBE">
      <w:pPr>
        <w:pStyle w:val="Textoindependiente"/>
        <w:ind w:firstLine="567"/>
        <w:rPr>
          <w:sz w:val="22"/>
          <w:szCs w:val="22"/>
        </w:rPr>
      </w:pPr>
      <w:r>
        <w:rPr>
          <w:sz w:val="22"/>
          <w:szCs w:val="22"/>
        </w:rPr>
        <w:t>No existe inmovilizado material no afecto a la actividad.</w:t>
      </w:r>
    </w:p>
    <w:p w14:paraId="2860B281" w14:textId="77777777" w:rsidR="00853FBE" w:rsidRDefault="00853FBE" w:rsidP="00853FBE">
      <w:pPr>
        <w:pStyle w:val="Textoindependiente"/>
        <w:ind w:firstLine="567"/>
        <w:rPr>
          <w:sz w:val="22"/>
          <w:szCs w:val="22"/>
        </w:rPr>
      </w:pPr>
      <w:r>
        <w:rPr>
          <w:sz w:val="22"/>
          <w:szCs w:val="22"/>
        </w:rPr>
        <w:t xml:space="preserve">No hay elementos del inmovilizado material afectos a garantías y reversión. </w:t>
      </w:r>
    </w:p>
    <w:p w14:paraId="20ACCC6B" w14:textId="77777777" w:rsidR="00853FBE" w:rsidRDefault="00853FBE" w:rsidP="00853FBE">
      <w:pPr>
        <w:pStyle w:val="Textoindependiente"/>
        <w:ind w:firstLine="567"/>
        <w:rPr>
          <w:sz w:val="22"/>
          <w:szCs w:val="22"/>
        </w:rPr>
      </w:pPr>
      <w:r>
        <w:rPr>
          <w:sz w:val="22"/>
          <w:szCs w:val="22"/>
        </w:rPr>
        <w:t xml:space="preserve">La Sociedad no dispone de compromisos firmes de compra y/o venta. </w:t>
      </w:r>
    </w:p>
    <w:p w14:paraId="202AD846" w14:textId="77777777" w:rsidR="00853FBE" w:rsidRDefault="00853FBE" w:rsidP="00853FBE">
      <w:pPr>
        <w:pStyle w:val="Textoindependiente"/>
        <w:ind w:firstLine="567"/>
        <w:rPr>
          <w:sz w:val="22"/>
          <w:szCs w:val="22"/>
        </w:rPr>
      </w:pPr>
      <w:r>
        <w:rPr>
          <w:sz w:val="22"/>
          <w:szCs w:val="22"/>
        </w:rPr>
        <w:t>La Sociedad no tiene arrendamientos financieros.</w:t>
      </w:r>
    </w:p>
    <w:p w14:paraId="26B7C023" w14:textId="64DCA048" w:rsidR="00853FBE" w:rsidRDefault="00460ABD" w:rsidP="00853FBE">
      <w:pPr>
        <w:pStyle w:val="Textoindependiente"/>
        <w:ind w:firstLine="567"/>
        <w:rPr>
          <w:sz w:val="22"/>
          <w:szCs w:val="22"/>
        </w:rPr>
      </w:pPr>
      <w:r>
        <w:rPr>
          <w:sz w:val="22"/>
          <w:szCs w:val="22"/>
        </w:rPr>
        <w:t>Existe inmovilizado</w:t>
      </w:r>
      <w:r w:rsidR="00853FBE">
        <w:rPr>
          <w:sz w:val="22"/>
          <w:szCs w:val="22"/>
        </w:rPr>
        <w:t xml:space="preserve"> material totalmente amortizado a 31 de diciembre según el siguiente detalle:</w:t>
      </w:r>
    </w:p>
    <w:tbl>
      <w:tblPr>
        <w:tblW w:w="4835" w:type="pct"/>
        <w:tblCellMar>
          <w:left w:w="70" w:type="dxa"/>
          <w:right w:w="70" w:type="dxa"/>
        </w:tblCellMar>
        <w:tblLook w:val="0000" w:firstRow="0" w:lastRow="0" w:firstColumn="0" w:lastColumn="0" w:noHBand="0" w:noVBand="0"/>
      </w:tblPr>
      <w:tblGrid>
        <w:gridCol w:w="5687"/>
        <w:gridCol w:w="2528"/>
      </w:tblGrid>
      <w:tr w:rsidR="00853FBE" w:rsidRPr="00C718FE" w14:paraId="2959E711" w14:textId="77777777">
        <w:trPr>
          <w:trHeight w:val="231"/>
        </w:trPr>
        <w:tc>
          <w:tcPr>
            <w:tcW w:w="3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2B5DC" w14:textId="2C49E177" w:rsidR="00853FBE" w:rsidRPr="00C718FE" w:rsidRDefault="00853FBE" w:rsidP="00853FBE">
            <w:pPr>
              <w:spacing w:before="0" w:after="0"/>
              <w:jc w:val="center"/>
              <w:rPr>
                <w:szCs w:val="18"/>
                <w:lang w:val="es-ES_tradnl" w:eastAsia="es-ES_tradnl"/>
              </w:rPr>
            </w:pPr>
            <w:r w:rsidRPr="00C718FE">
              <w:rPr>
                <w:szCs w:val="18"/>
                <w:lang w:val="es-ES_tradnl" w:eastAsia="es-ES_tradnl"/>
              </w:rPr>
              <w:t xml:space="preserve">Ejercicio </w:t>
            </w:r>
            <w:r w:rsidR="000253BC">
              <w:rPr>
                <w:szCs w:val="18"/>
                <w:lang w:val="es-ES_tradnl" w:eastAsia="es-ES_tradnl"/>
              </w:rPr>
              <w:t>2021</w:t>
            </w:r>
          </w:p>
        </w:tc>
        <w:tc>
          <w:tcPr>
            <w:tcW w:w="1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7AD22" w14:textId="77777777" w:rsidR="00853FBE" w:rsidRPr="00C718FE" w:rsidRDefault="00853FBE" w:rsidP="00853FBE">
            <w:pPr>
              <w:spacing w:before="0" w:after="0"/>
              <w:jc w:val="center"/>
              <w:rPr>
                <w:szCs w:val="16"/>
                <w:lang w:val="es-ES_tradnl" w:eastAsia="es-ES_tradnl"/>
              </w:rPr>
            </w:pPr>
            <w:r w:rsidRPr="00C718FE">
              <w:rPr>
                <w:szCs w:val="16"/>
                <w:lang w:val="es-ES_tradnl" w:eastAsia="es-ES_tradnl"/>
              </w:rPr>
              <w:t>Valor Contable (Bruto)</w:t>
            </w:r>
          </w:p>
        </w:tc>
      </w:tr>
      <w:tr w:rsidR="00853FBE" w:rsidRPr="00C718FE" w14:paraId="5BF4070F" w14:textId="77777777">
        <w:trPr>
          <w:trHeight w:val="231"/>
        </w:trPr>
        <w:tc>
          <w:tcPr>
            <w:tcW w:w="3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02385C" w14:textId="77777777" w:rsidR="00853FBE" w:rsidRPr="00C718FE" w:rsidRDefault="00853FBE" w:rsidP="00853FBE">
            <w:pPr>
              <w:spacing w:before="0" w:after="0"/>
              <w:rPr>
                <w:szCs w:val="18"/>
                <w:lang w:val="es-ES_tradnl" w:eastAsia="es-ES_tradnl"/>
              </w:rPr>
            </w:pPr>
            <w:r w:rsidRPr="00C718FE">
              <w:rPr>
                <w:szCs w:val="18"/>
                <w:lang w:val="es-ES_tradnl" w:eastAsia="es-ES_tradnl"/>
              </w:rPr>
              <w:t>Construcciones</w:t>
            </w:r>
          </w:p>
        </w:tc>
        <w:tc>
          <w:tcPr>
            <w:tcW w:w="1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922AC" w14:textId="77777777" w:rsidR="00853FBE" w:rsidRPr="00C718FE" w:rsidRDefault="00853FBE" w:rsidP="00853FBE">
            <w:pPr>
              <w:spacing w:before="0" w:after="0"/>
              <w:jc w:val="right"/>
              <w:rPr>
                <w:szCs w:val="16"/>
                <w:lang w:val="es-ES_tradnl" w:eastAsia="es-ES_tradnl"/>
              </w:rPr>
            </w:pPr>
            <w:r>
              <w:rPr>
                <w:szCs w:val="16"/>
                <w:lang w:val="es-ES_tradnl" w:eastAsia="es-ES_tradnl"/>
              </w:rPr>
              <w:t>720.229,41</w:t>
            </w:r>
          </w:p>
        </w:tc>
      </w:tr>
      <w:tr w:rsidR="00853FBE" w:rsidRPr="00C718FE" w14:paraId="249839B2" w14:textId="77777777">
        <w:trPr>
          <w:trHeight w:val="231"/>
        </w:trPr>
        <w:tc>
          <w:tcPr>
            <w:tcW w:w="3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FBDD7" w14:textId="77777777" w:rsidR="00853FBE" w:rsidRPr="00C718FE" w:rsidRDefault="00853FBE" w:rsidP="00853FBE">
            <w:pPr>
              <w:spacing w:before="0" w:after="0"/>
              <w:rPr>
                <w:szCs w:val="18"/>
                <w:lang w:val="es-ES_tradnl" w:eastAsia="es-ES_tradnl"/>
              </w:rPr>
            </w:pPr>
            <w:r w:rsidRPr="00C718FE">
              <w:rPr>
                <w:szCs w:val="18"/>
                <w:lang w:val="es-ES_tradnl" w:eastAsia="es-ES_tradnl"/>
              </w:rPr>
              <w:t>Resto de bienes</w:t>
            </w:r>
          </w:p>
        </w:tc>
        <w:tc>
          <w:tcPr>
            <w:tcW w:w="1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E2B074" w14:textId="6B2F6B4E" w:rsidR="00853FBE" w:rsidRPr="00C718FE" w:rsidRDefault="00460ABD" w:rsidP="00F113D8">
            <w:pPr>
              <w:spacing w:before="0" w:after="0"/>
              <w:jc w:val="right"/>
              <w:rPr>
                <w:szCs w:val="16"/>
                <w:lang w:val="es-ES_tradnl" w:eastAsia="es-ES_tradnl"/>
              </w:rPr>
            </w:pPr>
            <w:r>
              <w:rPr>
                <w:szCs w:val="16"/>
                <w:lang w:val="es-ES_tradnl" w:eastAsia="es-ES_tradnl"/>
              </w:rPr>
              <w:t>10.252.925,48</w:t>
            </w:r>
          </w:p>
        </w:tc>
      </w:tr>
      <w:tr w:rsidR="00853FBE" w:rsidRPr="00C718FE" w14:paraId="4EF0849C" w14:textId="77777777">
        <w:trPr>
          <w:trHeight w:val="231"/>
        </w:trPr>
        <w:tc>
          <w:tcPr>
            <w:tcW w:w="3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A162F" w14:textId="77777777" w:rsidR="00853FBE" w:rsidRPr="00C718FE" w:rsidRDefault="00853FBE" w:rsidP="00853FBE">
            <w:pPr>
              <w:spacing w:before="0" w:after="0"/>
              <w:rPr>
                <w:szCs w:val="18"/>
                <w:lang w:val="es-ES_tradnl" w:eastAsia="es-ES_tradnl"/>
              </w:rPr>
            </w:pPr>
            <w:r w:rsidRPr="00C718FE">
              <w:rPr>
                <w:szCs w:val="18"/>
                <w:lang w:val="es-ES_tradnl" w:eastAsia="es-ES_tradnl"/>
              </w:rPr>
              <w:t>TOTAL</w:t>
            </w:r>
          </w:p>
        </w:tc>
        <w:tc>
          <w:tcPr>
            <w:tcW w:w="1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215F0" w14:textId="06B10809" w:rsidR="00853FBE" w:rsidRPr="00C718FE" w:rsidRDefault="00F04E13" w:rsidP="00853FBE">
            <w:pPr>
              <w:spacing w:before="0" w:after="0"/>
              <w:jc w:val="right"/>
              <w:rPr>
                <w:szCs w:val="16"/>
                <w:lang w:val="es-ES_tradnl" w:eastAsia="es-ES_tradnl"/>
              </w:rPr>
            </w:pPr>
            <w:r>
              <w:rPr>
                <w:szCs w:val="16"/>
                <w:lang w:val="es-ES_tradnl" w:eastAsia="es-ES_tradnl"/>
              </w:rPr>
              <w:fldChar w:fldCharType="begin"/>
            </w:r>
            <w:r>
              <w:rPr>
                <w:szCs w:val="16"/>
                <w:lang w:val="es-ES_tradnl" w:eastAsia="es-ES_tradnl"/>
              </w:rPr>
              <w:instrText xml:space="preserve"> =SUM(ABOVE) \# "#.##0,00" </w:instrText>
            </w:r>
            <w:r>
              <w:rPr>
                <w:szCs w:val="16"/>
                <w:lang w:val="es-ES_tradnl" w:eastAsia="es-ES_tradnl"/>
              </w:rPr>
              <w:fldChar w:fldCharType="separate"/>
            </w:r>
            <w:r w:rsidR="00E11EEC">
              <w:rPr>
                <w:noProof/>
                <w:szCs w:val="16"/>
                <w:lang w:val="es-ES_tradnl" w:eastAsia="es-ES_tradnl"/>
              </w:rPr>
              <w:t>10.973.154,89</w:t>
            </w:r>
            <w:r>
              <w:rPr>
                <w:szCs w:val="16"/>
                <w:lang w:val="es-ES_tradnl" w:eastAsia="es-ES_tradnl"/>
              </w:rPr>
              <w:fldChar w:fldCharType="end"/>
            </w:r>
          </w:p>
        </w:tc>
      </w:tr>
    </w:tbl>
    <w:p w14:paraId="7C1C2837" w14:textId="77777777" w:rsidR="00853FBE" w:rsidRDefault="00853FBE" w:rsidP="00853FBE">
      <w:pPr>
        <w:pStyle w:val="Textoindependiente"/>
        <w:ind w:firstLine="567"/>
        <w:rPr>
          <w:sz w:val="22"/>
          <w:szCs w:val="22"/>
        </w:rPr>
      </w:pPr>
    </w:p>
    <w:p w14:paraId="5F3FB420" w14:textId="1AC84844" w:rsidR="00853FBE" w:rsidRDefault="00853FBE" w:rsidP="00853FBE">
      <w:pPr>
        <w:pStyle w:val="Textoindependiente"/>
        <w:ind w:firstLine="567"/>
        <w:rPr>
          <w:sz w:val="22"/>
          <w:szCs w:val="22"/>
        </w:rPr>
      </w:pPr>
      <w:r>
        <w:rPr>
          <w:sz w:val="22"/>
          <w:szCs w:val="22"/>
        </w:rPr>
        <w:t xml:space="preserve">El inmovilizado material totalmente amortizado a 31 de diciembre de </w:t>
      </w:r>
      <w:r w:rsidR="000253BC">
        <w:rPr>
          <w:sz w:val="22"/>
          <w:szCs w:val="22"/>
        </w:rPr>
        <w:t>2020</w:t>
      </w:r>
      <w:r>
        <w:rPr>
          <w:sz w:val="22"/>
          <w:szCs w:val="22"/>
        </w:rPr>
        <w:t xml:space="preserve"> era de: </w:t>
      </w:r>
    </w:p>
    <w:tbl>
      <w:tblPr>
        <w:tblW w:w="4835" w:type="pct"/>
        <w:tblCellMar>
          <w:left w:w="70" w:type="dxa"/>
          <w:right w:w="70" w:type="dxa"/>
        </w:tblCellMar>
        <w:tblLook w:val="0000" w:firstRow="0" w:lastRow="0" w:firstColumn="0" w:lastColumn="0" w:noHBand="0" w:noVBand="0"/>
      </w:tblPr>
      <w:tblGrid>
        <w:gridCol w:w="5686"/>
        <w:gridCol w:w="2529"/>
      </w:tblGrid>
      <w:tr w:rsidR="00853FBE" w:rsidRPr="00C718FE" w14:paraId="53B3256F" w14:textId="77777777" w:rsidTr="008B6716">
        <w:trPr>
          <w:trHeight w:val="231"/>
        </w:trPr>
        <w:tc>
          <w:tcPr>
            <w:tcW w:w="3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E0A11" w14:textId="631C4759" w:rsidR="00853FBE" w:rsidRPr="00C718FE" w:rsidRDefault="00853FBE" w:rsidP="00853FBE">
            <w:pPr>
              <w:spacing w:before="0" w:after="0"/>
              <w:jc w:val="center"/>
              <w:rPr>
                <w:szCs w:val="18"/>
                <w:lang w:val="es-ES_tradnl" w:eastAsia="es-ES_tradnl"/>
              </w:rPr>
            </w:pPr>
            <w:r w:rsidRPr="00C718FE">
              <w:rPr>
                <w:szCs w:val="18"/>
                <w:lang w:val="es-ES_tradnl" w:eastAsia="es-ES_tradnl"/>
              </w:rPr>
              <w:t xml:space="preserve">Ejercicio </w:t>
            </w:r>
            <w:r w:rsidR="000253BC">
              <w:rPr>
                <w:szCs w:val="18"/>
                <w:lang w:val="es-ES_tradnl" w:eastAsia="es-ES_tradnl"/>
              </w:rPr>
              <w:t>2020</w:t>
            </w:r>
          </w:p>
        </w:tc>
        <w:tc>
          <w:tcPr>
            <w:tcW w:w="1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04EADF" w14:textId="77777777" w:rsidR="00853FBE" w:rsidRPr="00C718FE" w:rsidRDefault="00853FBE" w:rsidP="00853FBE">
            <w:pPr>
              <w:spacing w:before="0" w:after="0"/>
              <w:jc w:val="center"/>
              <w:rPr>
                <w:szCs w:val="16"/>
                <w:lang w:val="es-ES_tradnl" w:eastAsia="es-ES_tradnl"/>
              </w:rPr>
            </w:pPr>
            <w:r w:rsidRPr="00C718FE">
              <w:rPr>
                <w:szCs w:val="16"/>
                <w:lang w:val="es-ES_tradnl" w:eastAsia="es-ES_tradnl"/>
              </w:rPr>
              <w:t>Valor Contable (Bruto)</w:t>
            </w:r>
          </w:p>
        </w:tc>
      </w:tr>
      <w:tr w:rsidR="00460ABD" w:rsidRPr="00C718FE" w14:paraId="66C2336C" w14:textId="77777777" w:rsidTr="008B6716">
        <w:trPr>
          <w:trHeight w:val="231"/>
        </w:trPr>
        <w:tc>
          <w:tcPr>
            <w:tcW w:w="3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AFE48D" w14:textId="77777777" w:rsidR="00460ABD" w:rsidRPr="00C718FE" w:rsidRDefault="00460ABD" w:rsidP="00460ABD">
            <w:pPr>
              <w:spacing w:before="0" w:after="0"/>
              <w:rPr>
                <w:szCs w:val="18"/>
                <w:lang w:val="es-ES_tradnl" w:eastAsia="es-ES_tradnl"/>
              </w:rPr>
            </w:pPr>
            <w:r w:rsidRPr="00C718FE">
              <w:rPr>
                <w:szCs w:val="18"/>
                <w:lang w:val="es-ES_tradnl" w:eastAsia="es-ES_tradnl"/>
              </w:rPr>
              <w:t>Construcciones</w:t>
            </w:r>
          </w:p>
        </w:tc>
        <w:tc>
          <w:tcPr>
            <w:tcW w:w="1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FA4CD" w14:textId="44F5D008" w:rsidR="00460ABD" w:rsidRPr="00C718FE" w:rsidRDefault="00460ABD" w:rsidP="00460ABD">
            <w:pPr>
              <w:spacing w:before="0" w:after="0"/>
              <w:jc w:val="right"/>
              <w:rPr>
                <w:szCs w:val="16"/>
                <w:lang w:val="es-ES_tradnl" w:eastAsia="es-ES_tradnl"/>
              </w:rPr>
            </w:pPr>
            <w:r>
              <w:rPr>
                <w:szCs w:val="16"/>
                <w:lang w:val="es-ES_tradnl" w:eastAsia="es-ES_tradnl"/>
              </w:rPr>
              <w:t>720.229,41</w:t>
            </w:r>
          </w:p>
        </w:tc>
      </w:tr>
      <w:tr w:rsidR="00460ABD" w:rsidRPr="00C718FE" w14:paraId="1B014EA6" w14:textId="77777777" w:rsidTr="008B6716">
        <w:trPr>
          <w:trHeight w:val="231"/>
        </w:trPr>
        <w:tc>
          <w:tcPr>
            <w:tcW w:w="3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BA61A" w14:textId="77777777" w:rsidR="00460ABD" w:rsidRPr="00C718FE" w:rsidRDefault="00460ABD" w:rsidP="00460ABD">
            <w:pPr>
              <w:spacing w:before="0" w:after="0"/>
              <w:rPr>
                <w:szCs w:val="18"/>
                <w:lang w:val="es-ES_tradnl" w:eastAsia="es-ES_tradnl"/>
              </w:rPr>
            </w:pPr>
            <w:r w:rsidRPr="00C718FE">
              <w:rPr>
                <w:szCs w:val="18"/>
                <w:lang w:val="es-ES_tradnl" w:eastAsia="es-ES_tradnl"/>
              </w:rPr>
              <w:t>Resto de bienes</w:t>
            </w:r>
          </w:p>
        </w:tc>
        <w:tc>
          <w:tcPr>
            <w:tcW w:w="1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60148D" w14:textId="57483E47" w:rsidR="00460ABD" w:rsidRPr="00C718FE" w:rsidRDefault="00460ABD" w:rsidP="00460ABD">
            <w:pPr>
              <w:spacing w:before="0" w:after="0"/>
              <w:jc w:val="right"/>
              <w:rPr>
                <w:szCs w:val="16"/>
                <w:lang w:val="es-ES_tradnl" w:eastAsia="es-ES_tradnl"/>
              </w:rPr>
            </w:pPr>
            <w:r>
              <w:rPr>
                <w:szCs w:val="16"/>
                <w:lang w:val="es-ES_tradnl" w:eastAsia="es-ES_tradnl"/>
              </w:rPr>
              <w:t>9.820.759,45</w:t>
            </w:r>
          </w:p>
        </w:tc>
      </w:tr>
      <w:tr w:rsidR="008B6716" w:rsidRPr="00C718FE" w14:paraId="3EA92117" w14:textId="77777777" w:rsidTr="008B6716">
        <w:trPr>
          <w:trHeight w:val="231"/>
        </w:trPr>
        <w:tc>
          <w:tcPr>
            <w:tcW w:w="3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2FF96" w14:textId="77777777" w:rsidR="008B6716" w:rsidRPr="00C718FE" w:rsidRDefault="008B6716" w:rsidP="008B6716">
            <w:pPr>
              <w:spacing w:before="0" w:after="0"/>
              <w:rPr>
                <w:szCs w:val="18"/>
                <w:lang w:val="es-ES_tradnl" w:eastAsia="es-ES_tradnl"/>
              </w:rPr>
            </w:pPr>
            <w:r w:rsidRPr="00C718FE">
              <w:rPr>
                <w:szCs w:val="18"/>
                <w:lang w:val="es-ES_tradnl" w:eastAsia="es-ES_tradnl"/>
              </w:rPr>
              <w:t>TOTAL</w:t>
            </w:r>
          </w:p>
        </w:tc>
        <w:tc>
          <w:tcPr>
            <w:tcW w:w="1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83E9B1" w14:textId="05207777" w:rsidR="008B6716" w:rsidRPr="00C718FE" w:rsidRDefault="008B6716" w:rsidP="008B6716">
            <w:pPr>
              <w:spacing w:before="0" w:after="0"/>
              <w:jc w:val="right"/>
              <w:rPr>
                <w:szCs w:val="16"/>
                <w:lang w:val="es-ES_tradnl" w:eastAsia="es-ES_tradnl"/>
              </w:rPr>
            </w:pPr>
            <w:r>
              <w:rPr>
                <w:szCs w:val="16"/>
                <w:lang w:val="es-ES_tradnl" w:eastAsia="es-ES_tradnl"/>
              </w:rPr>
              <w:fldChar w:fldCharType="begin"/>
            </w:r>
            <w:r>
              <w:rPr>
                <w:szCs w:val="16"/>
                <w:lang w:val="es-ES_tradnl" w:eastAsia="es-ES_tradnl"/>
              </w:rPr>
              <w:instrText xml:space="preserve"> =SUM(ABOVE) \# "#.##0,00" </w:instrText>
            </w:r>
            <w:r>
              <w:rPr>
                <w:szCs w:val="16"/>
                <w:lang w:val="es-ES_tradnl" w:eastAsia="es-ES_tradnl"/>
              </w:rPr>
              <w:fldChar w:fldCharType="separate"/>
            </w:r>
            <w:r w:rsidR="00E11EEC">
              <w:rPr>
                <w:noProof/>
                <w:szCs w:val="16"/>
                <w:lang w:val="es-ES_tradnl" w:eastAsia="es-ES_tradnl"/>
              </w:rPr>
              <w:t>10.540.988,86</w:t>
            </w:r>
            <w:r>
              <w:rPr>
                <w:szCs w:val="16"/>
                <w:lang w:val="es-ES_tradnl" w:eastAsia="es-ES_tradnl"/>
              </w:rPr>
              <w:fldChar w:fldCharType="end"/>
            </w:r>
          </w:p>
        </w:tc>
      </w:tr>
    </w:tbl>
    <w:p w14:paraId="79673782" w14:textId="77777777" w:rsidR="00853FBE" w:rsidRDefault="00853FBE" w:rsidP="00853FBE">
      <w:pPr>
        <w:pStyle w:val="Textoindependiente"/>
        <w:rPr>
          <w:sz w:val="22"/>
          <w:szCs w:val="22"/>
        </w:rPr>
      </w:pPr>
    </w:p>
    <w:p w14:paraId="03EBA0C1" w14:textId="12349AF2" w:rsidR="00DD6972" w:rsidRDefault="00460ABD" w:rsidP="00853FBE">
      <w:pPr>
        <w:pStyle w:val="Textoindependiente"/>
        <w:ind w:firstLine="708"/>
        <w:rPr>
          <w:sz w:val="22"/>
          <w:szCs w:val="22"/>
        </w:rPr>
      </w:pPr>
      <w:r>
        <w:rPr>
          <w:sz w:val="22"/>
          <w:szCs w:val="22"/>
        </w:rPr>
        <w:t>Se ha</w:t>
      </w:r>
      <w:r w:rsidR="001C1C1E">
        <w:rPr>
          <w:sz w:val="22"/>
          <w:szCs w:val="22"/>
        </w:rPr>
        <w:t xml:space="preserve"> </w:t>
      </w:r>
      <w:r w:rsidR="00C27568">
        <w:rPr>
          <w:sz w:val="22"/>
          <w:szCs w:val="22"/>
        </w:rPr>
        <w:t>cobrado</w:t>
      </w:r>
      <w:r w:rsidR="001C1C1E">
        <w:rPr>
          <w:sz w:val="22"/>
          <w:szCs w:val="22"/>
        </w:rPr>
        <w:t xml:space="preserve"> </w:t>
      </w:r>
      <w:r>
        <w:rPr>
          <w:sz w:val="22"/>
          <w:szCs w:val="22"/>
        </w:rPr>
        <w:t>en este ejercicio una</w:t>
      </w:r>
      <w:r w:rsidR="001C1C1E">
        <w:rPr>
          <w:sz w:val="22"/>
          <w:szCs w:val="22"/>
        </w:rPr>
        <w:t xml:space="preserve"> subvención de capital </w:t>
      </w:r>
      <w:r>
        <w:rPr>
          <w:sz w:val="22"/>
          <w:szCs w:val="22"/>
        </w:rPr>
        <w:t xml:space="preserve">por importe de 624.165 euros, subvención por Incentivos Regionales previstos en la Ley 50/1985, de 27 de diciembre, para la realización del proyecto de mejora del Hotel </w:t>
      </w:r>
      <w:proofErr w:type="spellStart"/>
      <w:r>
        <w:rPr>
          <w:sz w:val="22"/>
          <w:szCs w:val="22"/>
        </w:rPr>
        <w:t>Vallemar</w:t>
      </w:r>
      <w:proofErr w:type="spellEnd"/>
      <w:r>
        <w:rPr>
          <w:sz w:val="22"/>
          <w:szCs w:val="22"/>
        </w:rPr>
        <w:t xml:space="preserve">, obra ya finalizada y que duró desde abril de 2016 hasta agosto del mismo año. Esta subvención, concedida por la Subdirección General de Incentivos Regionales, del Ministerio de Hacienda y Administraciones Públicas del Gobierno de España, </w:t>
      </w:r>
      <w:r w:rsidR="00C27568">
        <w:rPr>
          <w:sz w:val="22"/>
          <w:szCs w:val="22"/>
        </w:rPr>
        <w:t>el 17 de diciembre de 2013, estaba sujeta</w:t>
      </w:r>
      <w:r>
        <w:rPr>
          <w:sz w:val="22"/>
          <w:szCs w:val="22"/>
        </w:rPr>
        <w:t xml:space="preserve"> a condiciones de mantenimiento de empleo, al cumplimiento de cierto nivel de autofinanciación y a la acreditación de una inversión de al menos 4.161.100 euros. Hasta el momento del cumplimiento de los citados requisitos, esta subvención </w:t>
      </w:r>
      <w:r w:rsidR="00C27568">
        <w:rPr>
          <w:sz w:val="22"/>
          <w:szCs w:val="22"/>
        </w:rPr>
        <w:t>tuvo</w:t>
      </w:r>
      <w:r>
        <w:rPr>
          <w:sz w:val="22"/>
          <w:szCs w:val="22"/>
        </w:rPr>
        <w:t xml:space="preserve"> el carácter de reintegrable, </w:t>
      </w:r>
      <w:r w:rsidR="00C27568">
        <w:rPr>
          <w:sz w:val="22"/>
          <w:szCs w:val="22"/>
        </w:rPr>
        <w:t>registrándose hasta entonces</w:t>
      </w:r>
      <w:r>
        <w:rPr>
          <w:sz w:val="22"/>
          <w:szCs w:val="22"/>
        </w:rPr>
        <w:t xml:space="preserve"> como pasivo. A la fecha del </w:t>
      </w:r>
      <w:r w:rsidR="00C27568">
        <w:rPr>
          <w:sz w:val="22"/>
          <w:szCs w:val="22"/>
        </w:rPr>
        <w:t>inicio</w:t>
      </w:r>
      <w:r>
        <w:rPr>
          <w:sz w:val="22"/>
          <w:szCs w:val="22"/>
        </w:rPr>
        <w:t xml:space="preserve"> de este ejercicio solo queda</w:t>
      </w:r>
      <w:r w:rsidR="00C27568">
        <w:rPr>
          <w:sz w:val="22"/>
          <w:szCs w:val="22"/>
        </w:rPr>
        <w:t>ba</w:t>
      </w:r>
      <w:r>
        <w:rPr>
          <w:sz w:val="22"/>
          <w:szCs w:val="22"/>
        </w:rPr>
        <w:t xml:space="preserve"> pendiente acreditar el mantenimiento de empleo, acreditación que se </w:t>
      </w:r>
      <w:r w:rsidR="00C27568">
        <w:rPr>
          <w:sz w:val="22"/>
          <w:szCs w:val="22"/>
        </w:rPr>
        <w:t>completó a 30 de junio de 2021, por lo que es a partir de esa fecha en la que se considera la subvención como no reintegrable. El coste total de los elementos de inmovilizado material subvencionados ascienda a 6.411.635,25 €.</w:t>
      </w:r>
    </w:p>
    <w:p w14:paraId="6EA9A4E3" w14:textId="77777777" w:rsidR="00853FBE" w:rsidRDefault="00853FBE" w:rsidP="00853FBE">
      <w:pPr>
        <w:pStyle w:val="Textoindependiente"/>
        <w:rPr>
          <w:sz w:val="22"/>
          <w:szCs w:val="22"/>
        </w:rPr>
      </w:pPr>
      <w:r>
        <w:tab/>
      </w:r>
      <w:r w:rsidRPr="009C3977">
        <w:rPr>
          <w:sz w:val="22"/>
          <w:szCs w:val="22"/>
        </w:rPr>
        <w:t xml:space="preserve">Los coeficientes de amortización utilizados son: </w:t>
      </w:r>
    </w:p>
    <w:p w14:paraId="7D279BBC" w14:textId="15C9F757" w:rsidR="00853FBE" w:rsidRDefault="00D128AC" w:rsidP="00853FBE">
      <w:pPr>
        <w:pStyle w:val="Textoindependiente"/>
        <w:rPr>
          <w:sz w:val="22"/>
          <w:szCs w:val="22"/>
        </w:rPr>
      </w:pPr>
      <w:r>
        <w:rPr>
          <w:noProof/>
          <w:sz w:val="22"/>
          <w:szCs w:val="22"/>
        </w:rPr>
        <w:lastRenderedPageBreak/>
        <w:drawing>
          <wp:inline distT="0" distB="0" distL="0" distR="0" wp14:anchorId="3FDBCB6E" wp14:editId="221EE1D2">
            <wp:extent cx="4267200"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1790700"/>
                    </a:xfrm>
                    <a:prstGeom prst="rect">
                      <a:avLst/>
                    </a:prstGeom>
                    <a:noFill/>
                    <a:ln>
                      <a:noFill/>
                    </a:ln>
                  </pic:spPr>
                </pic:pic>
              </a:graphicData>
            </a:graphic>
          </wp:inline>
        </w:drawing>
      </w:r>
    </w:p>
    <w:p w14:paraId="7C6C3147" w14:textId="77777777" w:rsidR="00F113D8" w:rsidRDefault="00F113D8" w:rsidP="00963CAF">
      <w:pPr>
        <w:pStyle w:val="Textoindependiente"/>
        <w:ind w:firstLine="567"/>
        <w:rPr>
          <w:sz w:val="22"/>
          <w:szCs w:val="22"/>
        </w:rPr>
      </w:pPr>
    </w:p>
    <w:p w14:paraId="2A9FCD5C" w14:textId="6C61BF92" w:rsidR="00963CAF" w:rsidRPr="00963CAF" w:rsidRDefault="009530E6" w:rsidP="00963CAF">
      <w:pPr>
        <w:pStyle w:val="Textoindependiente"/>
        <w:ind w:firstLine="567"/>
        <w:rPr>
          <w:sz w:val="22"/>
          <w:szCs w:val="22"/>
        </w:rPr>
      </w:pPr>
      <w:r>
        <w:rPr>
          <w:sz w:val="22"/>
          <w:szCs w:val="22"/>
        </w:rPr>
        <w:t xml:space="preserve">Se ha procedido a dar de baja </w:t>
      </w:r>
      <w:r w:rsidR="00963CAF" w:rsidRPr="00963CAF">
        <w:rPr>
          <w:sz w:val="22"/>
          <w:szCs w:val="22"/>
        </w:rPr>
        <w:t>elemento</w:t>
      </w:r>
      <w:r w:rsidR="00854F4A">
        <w:rPr>
          <w:sz w:val="22"/>
          <w:szCs w:val="22"/>
        </w:rPr>
        <w:t>s</w:t>
      </w:r>
      <w:r w:rsidR="00963CAF" w:rsidRPr="00963CAF">
        <w:rPr>
          <w:sz w:val="22"/>
          <w:szCs w:val="22"/>
        </w:rPr>
        <w:t xml:space="preserve"> de inmovilizado material </w:t>
      </w:r>
      <w:r w:rsidR="00854F4A">
        <w:rPr>
          <w:sz w:val="22"/>
          <w:szCs w:val="22"/>
        </w:rPr>
        <w:t>cuyo coste ascendió a 6.877,76 €, generándose una pérdida 523,28 €</w:t>
      </w:r>
      <w:r>
        <w:rPr>
          <w:sz w:val="22"/>
          <w:szCs w:val="22"/>
        </w:rPr>
        <w:t xml:space="preserve">. </w:t>
      </w:r>
    </w:p>
    <w:p w14:paraId="3D7D9FBA" w14:textId="77777777" w:rsidR="006C5353" w:rsidRDefault="00853FBE" w:rsidP="00853FBE">
      <w:pPr>
        <w:pStyle w:val="Textoindependiente"/>
        <w:ind w:firstLine="567"/>
        <w:rPr>
          <w:sz w:val="22"/>
          <w:szCs w:val="22"/>
        </w:rPr>
      </w:pPr>
      <w:r>
        <w:rPr>
          <w:sz w:val="22"/>
          <w:szCs w:val="22"/>
        </w:rPr>
        <w:t>La política de la Sociedad es formalizar pólizas de seguros para cubrir los posibles riesgos a que están sujetos los diversos elementos de su inmovilizado material. La administración revisa anualmente, o cuando alguna circunstancia lo hace necesario, las coberturas y los riesgos cubiertos y se acuerdan los importes que razonablemente se deben cubrir para el año siguiente.</w:t>
      </w:r>
    </w:p>
    <w:p w14:paraId="17658734" w14:textId="77777777" w:rsidR="00853FBE" w:rsidRPr="006C5353" w:rsidRDefault="006C5353" w:rsidP="00853FBE">
      <w:pPr>
        <w:pStyle w:val="Textoindependiente"/>
        <w:ind w:firstLine="567"/>
        <w:rPr>
          <w:sz w:val="22"/>
          <w:szCs w:val="22"/>
        </w:rPr>
      </w:pPr>
      <w:r w:rsidRPr="006C5353">
        <w:rPr>
          <w:iCs/>
          <w:sz w:val="22"/>
          <w:szCs w:val="22"/>
          <w:lang w:val="es-ES_tradnl"/>
        </w:rPr>
        <w:t>La sociedad no se ha acogido a la actualización de balances prevista en la Ley 16/2012, de 27 de diciembre, por la que se adoptan diversas medidas tributarias dirigidas a la consolidación de las finanzas públicas y al impulso de la actividad económica.</w:t>
      </w:r>
    </w:p>
    <w:p w14:paraId="2D008732" w14:textId="77777777" w:rsidR="00853FBE" w:rsidRDefault="00853FBE" w:rsidP="00853FBE">
      <w:pPr>
        <w:pStyle w:val="Textoindependiente"/>
      </w:pPr>
      <w:r>
        <w:br w:type="page"/>
      </w:r>
    </w:p>
    <w:p w14:paraId="084F5093" w14:textId="77777777" w:rsidR="00853FBE" w:rsidRDefault="00853FBE" w:rsidP="00853FBE">
      <w:pPr>
        <w:pStyle w:val="Ttulo1"/>
        <w:spacing w:before="360" w:after="120"/>
        <w:ind w:left="567" w:hanging="567"/>
        <w:jc w:val="both"/>
        <w:rPr>
          <w:sz w:val="22"/>
          <w:szCs w:val="22"/>
        </w:rPr>
      </w:pPr>
      <w:bookmarkStart w:id="38" w:name="_Toc106814594"/>
      <w:r>
        <w:rPr>
          <w:sz w:val="22"/>
          <w:szCs w:val="22"/>
        </w:rPr>
        <w:lastRenderedPageBreak/>
        <w:t xml:space="preserve">6. </w:t>
      </w:r>
      <w:r>
        <w:rPr>
          <w:sz w:val="22"/>
          <w:szCs w:val="22"/>
        </w:rPr>
        <w:tab/>
        <w:t>Inversiones inmobiliarias</w:t>
      </w:r>
      <w:bookmarkEnd w:id="38"/>
    </w:p>
    <w:p w14:paraId="65D2CED9" w14:textId="77777777" w:rsidR="00853FBE" w:rsidRDefault="00853FBE" w:rsidP="00853FBE">
      <w:pPr>
        <w:pStyle w:val="Textoindependiente"/>
        <w:ind w:firstLine="567"/>
        <w:rPr>
          <w:sz w:val="22"/>
          <w:szCs w:val="22"/>
        </w:rPr>
      </w:pPr>
      <w:r>
        <w:rPr>
          <w:sz w:val="22"/>
          <w:szCs w:val="22"/>
        </w:rPr>
        <w:t>El movimiento habido en este capítulo del balance de situación adjunto es el siguiente:</w:t>
      </w:r>
    </w:p>
    <w:bookmarkStart w:id="39" w:name="_MON_1486159485"/>
    <w:bookmarkEnd w:id="39"/>
    <w:bookmarkStart w:id="40" w:name="_MON_1329922282"/>
    <w:bookmarkEnd w:id="40"/>
    <w:p w14:paraId="6356448E" w14:textId="4EC831F6" w:rsidR="00853FBE" w:rsidRDefault="0064627E" w:rsidP="00853FBE">
      <w:pPr>
        <w:pStyle w:val="Textoindependiente"/>
        <w:ind w:left="-240"/>
      </w:pPr>
      <w:r w:rsidRPr="00EA0F71">
        <w:rPr>
          <w:rFonts w:ascii="Calibri" w:hAnsi="Calibri"/>
          <w:sz w:val="18"/>
          <w:szCs w:val="18"/>
        </w:rPr>
        <w:object w:dxaOrig="9615" w:dyaOrig="7865" w14:anchorId="21DB269B">
          <v:shape id="_x0000_i1027" type="#_x0000_t75" style="width:489.75pt;height:424.5pt" o:ole="">
            <v:imagedata r:id="rId13" o:title=""/>
          </v:shape>
          <o:OLEObject Type="Embed" ProgID="Excel.Sheet.8" ShapeID="_x0000_i1027" DrawAspect="Content" ObjectID="_1717427608" r:id="rId14"/>
        </w:object>
      </w:r>
    </w:p>
    <w:p w14:paraId="7F90E0BC" w14:textId="77777777" w:rsidR="00853FBE" w:rsidRDefault="00853FBE" w:rsidP="00853FBE">
      <w:pPr>
        <w:pStyle w:val="Textoindependiente"/>
        <w:ind w:firstLine="567"/>
        <w:rPr>
          <w:sz w:val="22"/>
          <w:szCs w:val="22"/>
        </w:rPr>
      </w:pPr>
      <w:r w:rsidRPr="00792EB0">
        <w:rPr>
          <w:sz w:val="22"/>
          <w:szCs w:val="22"/>
        </w:rPr>
        <w:t>Las inversiones más significativas incluidas en este epígrafe del balance de situación adjunto son las</w:t>
      </w:r>
      <w:r w:rsidRPr="00792EB0">
        <w:t xml:space="preserve"> </w:t>
      </w:r>
      <w:r w:rsidRPr="00322DFA">
        <w:rPr>
          <w:sz w:val="22"/>
          <w:szCs w:val="22"/>
        </w:rPr>
        <w:t>siguientes</w:t>
      </w:r>
      <w:r>
        <w:rPr>
          <w:sz w:val="22"/>
          <w:szCs w:val="22"/>
        </w:rPr>
        <w:t xml:space="preserve">: </w:t>
      </w:r>
    </w:p>
    <w:p w14:paraId="740A94BD" w14:textId="77777777" w:rsidR="00853FBE" w:rsidRPr="00322DFA" w:rsidRDefault="00853FBE" w:rsidP="00853FBE">
      <w:pPr>
        <w:pStyle w:val="Textoindependiente"/>
        <w:numPr>
          <w:ilvl w:val="0"/>
          <w:numId w:val="32"/>
        </w:numPr>
      </w:pPr>
      <w:r>
        <w:rPr>
          <w:sz w:val="22"/>
          <w:szCs w:val="22"/>
        </w:rPr>
        <w:t xml:space="preserve">Centro Comercial </w:t>
      </w:r>
      <w:proofErr w:type="spellStart"/>
      <w:r>
        <w:rPr>
          <w:sz w:val="22"/>
          <w:szCs w:val="22"/>
        </w:rPr>
        <w:t>Vallemar</w:t>
      </w:r>
      <w:proofErr w:type="spellEnd"/>
    </w:p>
    <w:p w14:paraId="54F90E05" w14:textId="77777777" w:rsidR="00853FBE" w:rsidRPr="00615A8B" w:rsidRDefault="00853FBE" w:rsidP="00853FBE">
      <w:pPr>
        <w:pStyle w:val="Textoindependiente"/>
        <w:numPr>
          <w:ilvl w:val="0"/>
          <w:numId w:val="32"/>
        </w:numPr>
      </w:pPr>
      <w:r>
        <w:rPr>
          <w:sz w:val="22"/>
          <w:szCs w:val="22"/>
        </w:rPr>
        <w:t xml:space="preserve">Locales Hotel </w:t>
      </w:r>
      <w:proofErr w:type="spellStart"/>
      <w:r>
        <w:rPr>
          <w:sz w:val="22"/>
          <w:szCs w:val="22"/>
        </w:rPr>
        <w:t>Nivaria</w:t>
      </w:r>
      <w:proofErr w:type="spellEnd"/>
    </w:p>
    <w:p w14:paraId="719BBD4A" w14:textId="77777777" w:rsidR="00853FBE" w:rsidRPr="00322DFA" w:rsidRDefault="00853FBE" w:rsidP="00853FBE">
      <w:pPr>
        <w:pStyle w:val="Textoindependiente"/>
        <w:numPr>
          <w:ilvl w:val="0"/>
          <w:numId w:val="32"/>
        </w:numPr>
      </w:pPr>
      <w:r>
        <w:rPr>
          <w:sz w:val="22"/>
          <w:szCs w:val="22"/>
        </w:rPr>
        <w:t>Adosados en Urbanización La Zamora</w:t>
      </w:r>
    </w:p>
    <w:p w14:paraId="7EB9BA2A" w14:textId="77777777" w:rsidR="00853FBE" w:rsidRPr="00322DFA" w:rsidRDefault="00853FBE" w:rsidP="00853FBE">
      <w:pPr>
        <w:pStyle w:val="Textoindependiente"/>
        <w:numPr>
          <w:ilvl w:val="0"/>
          <w:numId w:val="32"/>
        </w:numPr>
      </w:pPr>
      <w:r>
        <w:rPr>
          <w:sz w:val="22"/>
          <w:szCs w:val="22"/>
        </w:rPr>
        <w:t>Terrenos en Urbanización La Zamora</w:t>
      </w:r>
    </w:p>
    <w:p w14:paraId="3627C7E2" w14:textId="77777777" w:rsidR="00853FBE" w:rsidRPr="00322DFA" w:rsidRDefault="00853FBE" w:rsidP="00853FBE">
      <w:pPr>
        <w:pStyle w:val="Textoindependiente"/>
        <w:numPr>
          <w:ilvl w:val="0"/>
          <w:numId w:val="32"/>
        </w:numPr>
      </w:pPr>
      <w:r>
        <w:rPr>
          <w:sz w:val="22"/>
          <w:szCs w:val="22"/>
        </w:rPr>
        <w:t xml:space="preserve">Terreno en </w:t>
      </w:r>
      <w:proofErr w:type="spellStart"/>
      <w:r>
        <w:rPr>
          <w:sz w:val="22"/>
          <w:szCs w:val="22"/>
        </w:rPr>
        <w:t>Tajao</w:t>
      </w:r>
      <w:proofErr w:type="spellEnd"/>
      <w:r>
        <w:rPr>
          <w:sz w:val="22"/>
          <w:szCs w:val="22"/>
        </w:rPr>
        <w:t>-Arico</w:t>
      </w:r>
    </w:p>
    <w:p w14:paraId="2F2BEEDC" w14:textId="77777777" w:rsidR="00853FBE" w:rsidRPr="00E8478E" w:rsidRDefault="00853FBE" w:rsidP="00853FBE">
      <w:pPr>
        <w:pStyle w:val="Textoindependiente"/>
        <w:numPr>
          <w:ilvl w:val="0"/>
          <w:numId w:val="32"/>
        </w:numPr>
      </w:pPr>
      <w:r>
        <w:rPr>
          <w:sz w:val="22"/>
          <w:szCs w:val="22"/>
        </w:rPr>
        <w:t>Finca Llanitos de La Guancha</w:t>
      </w:r>
    </w:p>
    <w:p w14:paraId="43774BE2" w14:textId="77777777" w:rsidR="00853FBE" w:rsidRDefault="00853FBE" w:rsidP="00853FBE">
      <w:pPr>
        <w:pStyle w:val="Textoindependiente"/>
        <w:numPr>
          <w:ilvl w:val="0"/>
          <w:numId w:val="32"/>
        </w:numPr>
      </w:pPr>
      <w:r>
        <w:rPr>
          <w:sz w:val="22"/>
          <w:szCs w:val="22"/>
        </w:rPr>
        <w:t xml:space="preserve">Edificio “Residencial </w:t>
      </w:r>
      <w:proofErr w:type="spellStart"/>
      <w:r>
        <w:rPr>
          <w:sz w:val="22"/>
          <w:szCs w:val="22"/>
        </w:rPr>
        <w:t>Persea</w:t>
      </w:r>
      <w:proofErr w:type="spellEnd"/>
      <w:r>
        <w:rPr>
          <w:sz w:val="22"/>
          <w:szCs w:val="22"/>
        </w:rPr>
        <w:t>” en Urbanización La Zamora</w:t>
      </w:r>
    </w:p>
    <w:p w14:paraId="52A6EE66" w14:textId="14D1838D" w:rsidR="00853FBE" w:rsidRPr="007E79C4" w:rsidRDefault="00853FBE" w:rsidP="00853FBE">
      <w:pPr>
        <w:ind w:firstLine="567"/>
        <w:jc w:val="both"/>
        <w:rPr>
          <w:rFonts w:cs="Arial"/>
          <w:color w:val="000000"/>
          <w:sz w:val="22"/>
          <w:szCs w:val="22"/>
        </w:rPr>
      </w:pPr>
      <w:r w:rsidRPr="007E79C4">
        <w:rPr>
          <w:rFonts w:cs="Arial"/>
          <w:color w:val="000000"/>
          <w:sz w:val="22"/>
          <w:szCs w:val="22"/>
        </w:rPr>
        <w:lastRenderedPageBreak/>
        <w:t xml:space="preserve">Las inversiones inmobiliarias de la Sociedad se corresponden principalmente con inmuebles destinados a su explotación en régimen de alquiler, a excepción </w:t>
      </w:r>
      <w:r>
        <w:rPr>
          <w:rFonts w:cs="Arial"/>
          <w:color w:val="000000"/>
          <w:sz w:val="22"/>
          <w:szCs w:val="22"/>
        </w:rPr>
        <w:t xml:space="preserve">de los </w:t>
      </w:r>
      <w:r w:rsidRPr="00E81849">
        <w:rPr>
          <w:rFonts w:cs="Arial"/>
          <w:color w:val="000000"/>
          <w:sz w:val="22"/>
          <w:szCs w:val="22"/>
        </w:rPr>
        <w:t>terrenos en La Zamora,</w:t>
      </w:r>
      <w:r>
        <w:rPr>
          <w:rFonts w:cs="Arial"/>
          <w:color w:val="000000"/>
          <w:sz w:val="22"/>
          <w:szCs w:val="22"/>
        </w:rPr>
        <w:t xml:space="preserve"> que se mantienen para desarrollar promociones inmobiliarias futuras, el terreno de Arico y la finca de La Guancha, que se mantienen sin explotación actualmente.</w:t>
      </w:r>
    </w:p>
    <w:p w14:paraId="69149BF7" w14:textId="79621CB4" w:rsidR="00853FBE" w:rsidRDefault="00853FBE" w:rsidP="00853FBE">
      <w:pPr>
        <w:pStyle w:val="Textoindependiente"/>
        <w:ind w:firstLine="567"/>
        <w:rPr>
          <w:sz w:val="22"/>
          <w:szCs w:val="22"/>
        </w:rPr>
      </w:pPr>
      <w:r w:rsidRPr="00C2189E">
        <w:rPr>
          <w:sz w:val="22"/>
          <w:szCs w:val="22"/>
        </w:rPr>
        <w:t>Los ingresos provenientes de inversiones inmobiliarias así como los gastos para su explotación figuran en la siguiente tabla:</w:t>
      </w:r>
      <w:r>
        <w:rPr>
          <w:sz w:val="22"/>
          <w:szCs w:val="22"/>
        </w:rPr>
        <w:t xml:space="preserve"> </w:t>
      </w:r>
    </w:p>
    <w:bookmarkStart w:id="41" w:name="_MON_1592052438"/>
    <w:bookmarkEnd w:id="41"/>
    <w:p w14:paraId="56B0358F" w14:textId="6CE3EF58" w:rsidR="00853FBE" w:rsidRDefault="0064627E" w:rsidP="00853FBE">
      <w:pPr>
        <w:pStyle w:val="Textoindependiente"/>
        <w:ind w:left="-120"/>
      </w:pPr>
      <w:r w:rsidRPr="00EA0F71">
        <w:rPr>
          <w:rFonts w:ascii="Calibri" w:hAnsi="Calibri"/>
          <w:sz w:val="18"/>
          <w:szCs w:val="18"/>
        </w:rPr>
        <w:object w:dxaOrig="7875" w:dyaOrig="2413" w14:anchorId="7C23B77A">
          <v:shape id="_x0000_i1028" type="#_x0000_t75" style="width:446.25pt;height:151.5pt" o:ole="">
            <v:imagedata r:id="rId15" o:title=""/>
          </v:shape>
          <o:OLEObject Type="Embed" ProgID="Excel.Sheet.8" ShapeID="_x0000_i1028" DrawAspect="Content" ObjectID="_1717427609" r:id="rId16"/>
        </w:object>
      </w:r>
    </w:p>
    <w:p w14:paraId="4A8BC2C9" w14:textId="052B59C6" w:rsidR="00853FBE" w:rsidRDefault="00853FBE" w:rsidP="00293C92">
      <w:pPr>
        <w:pStyle w:val="Textoindependiente"/>
        <w:ind w:left="-120"/>
        <w:rPr>
          <w:sz w:val="22"/>
          <w:szCs w:val="22"/>
        </w:rPr>
      </w:pPr>
      <w:r>
        <w:tab/>
      </w:r>
      <w:r>
        <w:tab/>
      </w:r>
      <w:r>
        <w:rPr>
          <w:sz w:val="22"/>
          <w:szCs w:val="22"/>
        </w:rPr>
        <w:t xml:space="preserve">No existe ninguna restricción a la realización de las inversiones, al cobro de los ingresos derivados de las mismas o de los recursos obtenidos por su enajenación o disposición por otros medios. </w:t>
      </w:r>
    </w:p>
    <w:p w14:paraId="6EBC642C" w14:textId="77777777" w:rsidR="00853FBE" w:rsidRDefault="00853FBE" w:rsidP="00853FBE">
      <w:pPr>
        <w:pStyle w:val="Textoindependiente"/>
        <w:ind w:firstLine="567"/>
        <w:rPr>
          <w:sz w:val="22"/>
          <w:szCs w:val="22"/>
        </w:rPr>
      </w:pPr>
      <w:r>
        <w:rPr>
          <w:sz w:val="22"/>
          <w:szCs w:val="22"/>
        </w:rPr>
        <w:t xml:space="preserve">No se han contabilizado costes de desmantelamiento, retiro o rehabilitación durante el ejercicio. </w:t>
      </w:r>
    </w:p>
    <w:p w14:paraId="5319E1AB" w14:textId="77777777" w:rsidR="00BF39F3" w:rsidRPr="00BF39F3" w:rsidRDefault="00BF39F3" w:rsidP="00BF39F3">
      <w:pPr>
        <w:pStyle w:val="Textoindependiente"/>
        <w:ind w:firstLine="567"/>
        <w:rPr>
          <w:sz w:val="22"/>
          <w:szCs w:val="22"/>
        </w:rPr>
      </w:pPr>
      <w:r w:rsidRPr="00BF39F3">
        <w:rPr>
          <w:sz w:val="22"/>
          <w:szCs w:val="22"/>
        </w:rPr>
        <w:t>No se han realizado cambios de estimación que afecten a valores residuales, costes estimados de desmantelamiento, retiro o rehabilitación, vidas útiles y métodos de amortización.</w:t>
      </w:r>
    </w:p>
    <w:p w14:paraId="78D2152F" w14:textId="77777777" w:rsidR="00853FBE" w:rsidRDefault="00853FBE" w:rsidP="00853FBE">
      <w:pPr>
        <w:pStyle w:val="Textoindependiente"/>
        <w:ind w:firstLine="567"/>
        <w:rPr>
          <w:sz w:val="22"/>
          <w:szCs w:val="22"/>
        </w:rPr>
      </w:pPr>
      <w:r>
        <w:rPr>
          <w:sz w:val="22"/>
          <w:szCs w:val="22"/>
        </w:rPr>
        <w:t xml:space="preserve">No se dispone de inversiones situadas fuera del territorio español. </w:t>
      </w:r>
    </w:p>
    <w:p w14:paraId="2E83B1E6" w14:textId="77777777" w:rsidR="00853FBE" w:rsidRDefault="00853FBE" w:rsidP="00853FBE">
      <w:pPr>
        <w:pStyle w:val="Textoindependiente"/>
        <w:ind w:firstLine="567"/>
        <w:rPr>
          <w:sz w:val="22"/>
          <w:szCs w:val="22"/>
        </w:rPr>
      </w:pPr>
      <w:r>
        <w:rPr>
          <w:sz w:val="22"/>
          <w:szCs w:val="22"/>
        </w:rPr>
        <w:t xml:space="preserve">No se han capitalizado gastos financieros durante el ejercicio. </w:t>
      </w:r>
    </w:p>
    <w:p w14:paraId="0D4C87EB" w14:textId="77777777" w:rsidR="00853FBE" w:rsidRDefault="00853FBE" w:rsidP="00853FBE">
      <w:pPr>
        <w:pStyle w:val="Textoindependiente"/>
        <w:ind w:firstLine="567"/>
        <w:rPr>
          <w:sz w:val="22"/>
          <w:szCs w:val="22"/>
        </w:rPr>
      </w:pPr>
      <w:r>
        <w:rPr>
          <w:sz w:val="22"/>
          <w:szCs w:val="22"/>
        </w:rPr>
        <w:t xml:space="preserve">No se han realizado correcciones valorativas por deterioro de cuantía significativa. </w:t>
      </w:r>
    </w:p>
    <w:p w14:paraId="4C070129" w14:textId="77777777" w:rsidR="00853FBE" w:rsidRDefault="00853FBE" w:rsidP="00853FBE">
      <w:pPr>
        <w:pStyle w:val="Textoindependiente"/>
        <w:ind w:firstLine="567"/>
        <w:rPr>
          <w:sz w:val="22"/>
          <w:szCs w:val="22"/>
        </w:rPr>
      </w:pPr>
      <w:r>
        <w:rPr>
          <w:sz w:val="22"/>
          <w:szCs w:val="22"/>
        </w:rPr>
        <w:t xml:space="preserve">En el balance, no se dispone de inversiones inmobiliarias totalmente amortizadas en uso. </w:t>
      </w:r>
    </w:p>
    <w:p w14:paraId="43C463FA" w14:textId="77777777" w:rsidR="00853FBE" w:rsidRDefault="00853FBE" w:rsidP="00853FBE">
      <w:pPr>
        <w:pStyle w:val="Textoindependiente"/>
        <w:ind w:firstLine="567"/>
        <w:rPr>
          <w:sz w:val="22"/>
          <w:szCs w:val="22"/>
        </w:rPr>
      </w:pPr>
      <w:r>
        <w:rPr>
          <w:sz w:val="22"/>
          <w:szCs w:val="22"/>
        </w:rPr>
        <w:t xml:space="preserve">No hay elementos de inversiones inmobiliarias afectos a garantías y reversión. </w:t>
      </w:r>
    </w:p>
    <w:p w14:paraId="603C3EBE" w14:textId="77777777" w:rsidR="00853FBE" w:rsidRDefault="00853FBE" w:rsidP="00853FBE">
      <w:pPr>
        <w:pStyle w:val="Textoindependiente"/>
        <w:ind w:firstLine="567"/>
        <w:rPr>
          <w:sz w:val="22"/>
          <w:szCs w:val="22"/>
        </w:rPr>
      </w:pPr>
      <w:r>
        <w:rPr>
          <w:sz w:val="22"/>
          <w:szCs w:val="22"/>
        </w:rPr>
        <w:t xml:space="preserve">No hay subvenciones, donaciones y legados relacionadas con las inversiones inmobiliarias. </w:t>
      </w:r>
    </w:p>
    <w:p w14:paraId="023FDF76" w14:textId="77777777" w:rsidR="00853FBE" w:rsidRDefault="00853FBE" w:rsidP="00853FBE">
      <w:pPr>
        <w:pStyle w:val="Textoindependiente"/>
        <w:ind w:firstLine="567"/>
        <w:rPr>
          <w:sz w:val="22"/>
          <w:szCs w:val="22"/>
        </w:rPr>
      </w:pPr>
      <w:r>
        <w:rPr>
          <w:sz w:val="22"/>
          <w:szCs w:val="22"/>
        </w:rPr>
        <w:t xml:space="preserve">La Sociedad no dispone de compromisos firmes de compra y/o venta. </w:t>
      </w:r>
    </w:p>
    <w:p w14:paraId="676C5C93" w14:textId="77777777" w:rsidR="00853FBE" w:rsidRDefault="00853FBE" w:rsidP="00853FBE">
      <w:pPr>
        <w:pStyle w:val="Textoindependiente"/>
        <w:ind w:firstLine="567"/>
        <w:rPr>
          <w:sz w:val="22"/>
          <w:szCs w:val="22"/>
        </w:rPr>
      </w:pPr>
      <w:r w:rsidRPr="00212BFE">
        <w:rPr>
          <w:sz w:val="22"/>
          <w:szCs w:val="22"/>
        </w:rPr>
        <w:t xml:space="preserve">No existen obligaciones contractuales para adquisición, construcción o desarrollo de inversiones inmobiliarias o para reparaciones, mantenimiento o mejoras. </w:t>
      </w:r>
    </w:p>
    <w:p w14:paraId="432861C6" w14:textId="77777777" w:rsidR="00853FBE" w:rsidRDefault="00853FBE" w:rsidP="00853FBE">
      <w:pPr>
        <w:pStyle w:val="Ttulo1"/>
        <w:spacing w:before="360" w:after="120"/>
        <w:ind w:left="567" w:hanging="567"/>
        <w:jc w:val="both"/>
        <w:rPr>
          <w:sz w:val="22"/>
          <w:szCs w:val="22"/>
        </w:rPr>
      </w:pPr>
      <w:bookmarkStart w:id="42" w:name="_Toc106814595"/>
      <w:r>
        <w:rPr>
          <w:sz w:val="22"/>
          <w:szCs w:val="22"/>
        </w:rPr>
        <w:t xml:space="preserve">7. </w:t>
      </w:r>
      <w:r>
        <w:rPr>
          <w:sz w:val="22"/>
          <w:szCs w:val="22"/>
        </w:rPr>
        <w:tab/>
        <w:t>Inmovilizado intangible</w:t>
      </w:r>
      <w:bookmarkEnd w:id="42"/>
    </w:p>
    <w:p w14:paraId="7F3BC8C2" w14:textId="77777777" w:rsidR="00853FBE" w:rsidRDefault="00853FBE" w:rsidP="00853FBE">
      <w:pPr>
        <w:pStyle w:val="Ttulo2"/>
        <w:ind w:left="0"/>
        <w:rPr>
          <w:bCs w:val="0"/>
          <w:iCs/>
          <w:sz w:val="22"/>
        </w:rPr>
      </w:pPr>
      <w:bookmarkStart w:id="43" w:name="_Toc106814596"/>
      <w:r>
        <w:rPr>
          <w:bCs w:val="0"/>
          <w:iCs/>
          <w:sz w:val="22"/>
        </w:rPr>
        <w:t xml:space="preserve">7.1 </w:t>
      </w:r>
      <w:r>
        <w:rPr>
          <w:bCs w:val="0"/>
          <w:iCs/>
          <w:sz w:val="22"/>
        </w:rPr>
        <w:tab/>
        <w:t>General</w:t>
      </w:r>
      <w:bookmarkEnd w:id="43"/>
    </w:p>
    <w:p w14:paraId="3391C6E5" w14:textId="77777777" w:rsidR="00853FBE" w:rsidRDefault="00853FBE" w:rsidP="00853FBE">
      <w:pPr>
        <w:pStyle w:val="Textoindependiente"/>
        <w:ind w:firstLine="708"/>
        <w:rPr>
          <w:sz w:val="22"/>
          <w:szCs w:val="22"/>
        </w:rPr>
      </w:pPr>
      <w:r>
        <w:rPr>
          <w:sz w:val="22"/>
          <w:szCs w:val="22"/>
        </w:rPr>
        <w:t>El detalle de movimientos habido en este capítulo del balance de situación adjunto es el siguiente:</w:t>
      </w:r>
    </w:p>
    <w:bookmarkStart w:id="44" w:name="_MON_1486159559"/>
    <w:bookmarkEnd w:id="44"/>
    <w:bookmarkStart w:id="45" w:name="_MON_1329922422"/>
    <w:bookmarkEnd w:id="45"/>
    <w:p w14:paraId="7A8801F3" w14:textId="73710194" w:rsidR="00853FBE" w:rsidRDefault="006D1C92" w:rsidP="00853FBE">
      <w:pPr>
        <w:pStyle w:val="Textoindependiente"/>
        <w:ind w:left="-840"/>
      </w:pPr>
      <w:r w:rsidRPr="00EA0F71">
        <w:rPr>
          <w:rFonts w:ascii="Calibri" w:hAnsi="Calibri"/>
          <w:sz w:val="18"/>
          <w:szCs w:val="18"/>
        </w:rPr>
        <w:object w:dxaOrig="11308" w:dyaOrig="9528" w14:anchorId="3D844ED4">
          <v:shape id="_x0000_i1029" type="#_x0000_t75" style="width:474.75pt;height:6in" o:ole="">
            <v:imagedata r:id="rId17" o:title=""/>
          </v:shape>
          <o:OLEObject Type="Embed" ProgID="Excel.Sheet.8" ShapeID="_x0000_i1029" DrawAspect="Content" ObjectID="_1717427610" r:id="rId18"/>
        </w:object>
      </w:r>
    </w:p>
    <w:p w14:paraId="4EBFC169" w14:textId="77777777" w:rsidR="00853FBE" w:rsidRDefault="00853FBE" w:rsidP="00853FBE">
      <w:pPr>
        <w:pStyle w:val="Textoindependiente"/>
        <w:ind w:firstLine="708"/>
        <w:rPr>
          <w:sz w:val="22"/>
          <w:szCs w:val="22"/>
        </w:rPr>
      </w:pPr>
      <w:r>
        <w:rPr>
          <w:sz w:val="22"/>
          <w:szCs w:val="22"/>
        </w:rPr>
        <w:t>La amortización de los elementos del inmovilizado intangibles de forma lineal durante su vida útil estimada, en función de los siguientes años de vida útil:</w:t>
      </w:r>
    </w:p>
    <w:p w14:paraId="2D6BB5FB" w14:textId="77777777" w:rsidR="00853FBE" w:rsidRDefault="003907F9" w:rsidP="00853FBE">
      <w:pPr>
        <w:pStyle w:val="Textoindependiente"/>
        <w:ind w:left="927"/>
        <w:rPr>
          <w:sz w:val="22"/>
          <w:szCs w:val="22"/>
        </w:rPr>
      </w:pPr>
      <w:r>
        <w:rPr>
          <w:noProof/>
          <w:sz w:val="22"/>
          <w:szCs w:val="22"/>
        </w:rPr>
        <w:drawing>
          <wp:inline distT="0" distB="0" distL="0" distR="0" wp14:anchorId="663E1241" wp14:editId="764F3DFF">
            <wp:extent cx="4531360" cy="396240"/>
            <wp:effectExtent l="2540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531360" cy="396240"/>
                    </a:xfrm>
                    <a:prstGeom prst="rect">
                      <a:avLst/>
                    </a:prstGeom>
                    <a:noFill/>
                    <a:ln w="9525">
                      <a:noFill/>
                      <a:miter lim="800000"/>
                      <a:headEnd/>
                      <a:tailEnd/>
                    </a:ln>
                  </pic:spPr>
                </pic:pic>
              </a:graphicData>
            </a:graphic>
          </wp:inline>
        </w:drawing>
      </w:r>
    </w:p>
    <w:p w14:paraId="18313A0C" w14:textId="77777777" w:rsidR="00853FBE" w:rsidRDefault="00853FBE" w:rsidP="00853FBE">
      <w:pPr>
        <w:pStyle w:val="Textoindependiente"/>
        <w:ind w:firstLine="567"/>
        <w:rPr>
          <w:sz w:val="22"/>
          <w:szCs w:val="22"/>
        </w:rPr>
      </w:pPr>
      <w:r>
        <w:rPr>
          <w:sz w:val="22"/>
          <w:szCs w:val="22"/>
        </w:rPr>
        <w:t xml:space="preserve">No existen activos afectos a garantías y reversión durante el ejercicio. </w:t>
      </w:r>
    </w:p>
    <w:p w14:paraId="338CAC5C" w14:textId="77777777" w:rsidR="00853FBE" w:rsidRDefault="00853FBE" w:rsidP="00853FBE">
      <w:pPr>
        <w:pStyle w:val="Textoindependiente"/>
        <w:ind w:firstLine="567"/>
        <w:rPr>
          <w:sz w:val="22"/>
          <w:szCs w:val="22"/>
        </w:rPr>
      </w:pPr>
      <w:r>
        <w:rPr>
          <w:sz w:val="22"/>
          <w:szCs w:val="22"/>
        </w:rPr>
        <w:t>No se han realizado cambios de estimación que afecten a valores residuales, vidas útiles y métodos de amortización.</w:t>
      </w:r>
    </w:p>
    <w:p w14:paraId="36BD22A2" w14:textId="77777777" w:rsidR="00853FBE" w:rsidRDefault="00853FBE" w:rsidP="00853FBE">
      <w:pPr>
        <w:pStyle w:val="Textoindependiente"/>
        <w:ind w:firstLine="567"/>
        <w:rPr>
          <w:sz w:val="22"/>
          <w:szCs w:val="22"/>
        </w:rPr>
      </w:pPr>
      <w:r>
        <w:rPr>
          <w:sz w:val="22"/>
          <w:szCs w:val="22"/>
        </w:rPr>
        <w:t xml:space="preserve">No se han adquirido elementos del inmovilizado intangible a empresas del grupo y asociadas. </w:t>
      </w:r>
    </w:p>
    <w:p w14:paraId="10E67932" w14:textId="77777777" w:rsidR="00853FBE" w:rsidRDefault="00853FBE" w:rsidP="00853FBE">
      <w:pPr>
        <w:pStyle w:val="Textoindependiente"/>
        <w:ind w:firstLine="567"/>
        <w:rPr>
          <w:sz w:val="22"/>
          <w:szCs w:val="22"/>
        </w:rPr>
      </w:pPr>
      <w:r>
        <w:rPr>
          <w:sz w:val="22"/>
          <w:szCs w:val="22"/>
        </w:rPr>
        <w:t xml:space="preserve">No se dispone de inversiones en inmovilizado intangible situadas fuera del territorio español. </w:t>
      </w:r>
    </w:p>
    <w:p w14:paraId="74C42C8E" w14:textId="77777777" w:rsidR="00853FBE" w:rsidRDefault="00853FBE" w:rsidP="00853FBE">
      <w:pPr>
        <w:pStyle w:val="Textoindependiente"/>
        <w:ind w:firstLine="567"/>
        <w:rPr>
          <w:sz w:val="22"/>
          <w:szCs w:val="22"/>
        </w:rPr>
      </w:pPr>
      <w:r>
        <w:rPr>
          <w:sz w:val="22"/>
          <w:szCs w:val="22"/>
        </w:rPr>
        <w:t>No se han capitalizado gastos financieros durante el ejercicio.</w:t>
      </w:r>
    </w:p>
    <w:p w14:paraId="24EE4909" w14:textId="77777777" w:rsidR="00853FBE" w:rsidRDefault="00853FBE" w:rsidP="00853FBE">
      <w:pPr>
        <w:pStyle w:val="Textoindependiente"/>
        <w:ind w:firstLine="567"/>
        <w:rPr>
          <w:sz w:val="22"/>
          <w:szCs w:val="22"/>
        </w:rPr>
      </w:pPr>
      <w:r>
        <w:rPr>
          <w:sz w:val="22"/>
          <w:szCs w:val="22"/>
        </w:rPr>
        <w:lastRenderedPageBreak/>
        <w:t>No se han realizado correcciones valorativas por deterioro por cuantía significativa.</w:t>
      </w:r>
    </w:p>
    <w:p w14:paraId="6474A513" w14:textId="77777777" w:rsidR="00853FBE" w:rsidRDefault="00853FBE" w:rsidP="00853FBE">
      <w:pPr>
        <w:pStyle w:val="Textoindependiente"/>
        <w:ind w:firstLine="567"/>
        <w:rPr>
          <w:sz w:val="22"/>
          <w:szCs w:val="22"/>
        </w:rPr>
      </w:pPr>
      <w:r>
        <w:rPr>
          <w:sz w:val="22"/>
          <w:szCs w:val="22"/>
        </w:rPr>
        <w:t>No existe inmovilizado intangible no afecto a la actividad.</w:t>
      </w:r>
    </w:p>
    <w:p w14:paraId="76B12B7D" w14:textId="6DF1B6B3" w:rsidR="004610A6" w:rsidRPr="004610A6" w:rsidRDefault="004610A6" w:rsidP="004610A6">
      <w:pPr>
        <w:pStyle w:val="Textoindependiente"/>
        <w:ind w:firstLine="567"/>
        <w:rPr>
          <w:sz w:val="22"/>
          <w:szCs w:val="22"/>
        </w:rPr>
      </w:pPr>
      <w:r>
        <w:rPr>
          <w:sz w:val="22"/>
          <w:szCs w:val="22"/>
        </w:rPr>
        <w:t>Existe</w:t>
      </w:r>
      <w:r w:rsidRPr="004610A6">
        <w:rPr>
          <w:sz w:val="22"/>
          <w:szCs w:val="22"/>
        </w:rPr>
        <w:t xml:space="preserve"> inmovilizado intangible totalmente amortizado a 31 de diciembre según el siguiente detalle:</w:t>
      </w:r>
    </w:p>
    <w:bookmarkStart w:id="46" w:name="_MON_1486159601"/>
    <w:bookmarkEnd w:id="46"/>
    <w:bookmarkStart w:id="47" w:name="_MON_1330331389"/>
    <w:bookmarkEnd w:id="47"/>
    <w:p w14:paraId="05DE482F" w14:textId="0F37E138" w:rsidR="004610A6" w:rsidRDefault="006D1C92" w:rsidP="004610A6">
      <w:pPr>
        <w:pStyle w:val="Textoindependiente"/>
        <w:ind w:firstLine="567"/>
        <w:rPr>
          <w:rFonts w:ascii="Calibri" w:hAnsi="Calibri"/>
          <w:sz w:val="18"/>
          <w:szCs w:val="18"/>
        </w:rPr>
      </w:pPr>
      <w:r w:rsidRPr="00EA0F71">
        <w:rPr>
          <w:rFonts w:ascii="Calibri" w:hAnsi="Calibri"/>
          <w:sz w:val="18"/>
          <w:szCs w:val="18"/>
        </w:rPr>
        <w:object w:dxaOrig="7214" w:dyaOrig="1165" w14:anchorId="7AF3A9EA">
          <v:shape id="_x0000_i1030" type="#_x0000_t75" style="width:367.5pt;height:57.75pt" o:ole="">
            <v:imagedata r:id="rId20" o:title=""/>
          </v:shape>
          <o:OLEObject Type="Embed" ProgID="Excel.Sheet.8" ShapeID="_x0000_i1030" DrawAspect="Content" ObjectID="_1717427611" r:id="rId21"/>
        </w:object>
      </w:r>
    </w:p>
    <w:bookmarkStart w:id="48" w:name="_MON_1486159608"/>
    <w:bookmarkEnd w:id="48"/>
    <w:p w14:paraId="15E45246" w14:textId="0FEDA5DB" w:rsidR="00BB35D0" w:rsidRPr="004610A6" w:rsidRDefault="006D1C92" w:rsidP="004610A6">
      <w:pPr>
        <w:pStyle w:val="Textoindependiente"/>
        <w:ind w:firstLine="567"/>
        <w:rPr>
          <w:sz w:val="22"/>
          <w:szCs w:val="22"/>
        </w:rPr>
      </w:pPr>
      <w:r w:rsidRPr="00EA0F71">
        <w:rPr>
          <w:rFonts w:ascii="Calibri" w:hAnsi="Calibri"/>
          <w:sz w:val="18"/>
          <w:szCs w:val="18"/>
        </w:rPr>
        <w:object w:dxaOrig="7214" w:dyaOrig="1165" w14:anchorId="04857BDE">
          <v:shape id="_x0000_i1031" type="#_x0000_t75" style="width:367.5pt;height:57.75pt" o:ole="">
            <v:imagedata r:id="rId22" o:title=""/>
          </v:shape>
          <o:OLEObject Type="Embed" ProgID="Excel.Sheet.8" ShapeID="_x0000_i1031" DrawAspect="Content" ObjectID="_1717427612" r:id="rId23"/>
        </w:object>
      </w:r>
    </w:p>
    <w:p w14:paraId="7037806E" w14:textId="77777777" w:rsidR="00050873" w:rsidRDefault="00050873" w:rsidP="00853FBE">
      <w:pPr>
        <w:pStyle w:val="Textoindependiente"/>
        <w:ind w:firstLine="567"/>
        <w:rPr>
          <w:sz w:val="22"/>
          <w:szCs w:val="22"/>
        </w:rPr>
      </w:pPr>
    </w:p>
    <w:p w14:paraId="606CB6A1" w14:textId="35F2AAD2" w:rsidR="00853FBE" w:rsidRDefault="006E5ADF" w:rsidP="00853FBE">
      <w:pPr>
        <w:pStyle w:val="Textoindependiente"/>
        <w:ind w:firstLine="567"/>
        <w:rPr>
          <w:sz w:val="22"/>
          <w:szCs w:val="22"/>
        </w:rPr>
      </w:pPr>
      <w:r>
        <w:rPr>
          <w:sz w:val="22"/>
          <w:szCs w:val="22"/>
        </w:rPr>
        <w:t>No</w:t>
      </w:r>
      <w:r w:rsidR="00E31EEF">
        <w:rPr>
          <w:sz w:val="22"/>
          <w:szCs w:val="22"/>
        </w:rPr>
        <w:t xml:space="preserve"> se ha recibido subvención alguna por inversiones en el inmovilizado intangible</w:t>
      </w:r>
      <w:r>
        <w:rPr>
          <w:sz w:val="22"/>
          <w:szCs w:val="22"/>
        </w:rPr>
        <w:t>, ni en el ejercicio corriente, ni tampoco en el ejercicio anterior</w:t>
      </w:r>
      <w:r w:rsidR="00E31EEF">
        <w:rPr>
          <w:sz w:val="22"/>
          <w:szCs w:val="22"/>
        </w:rPr>
        <w:t>.</w:t>
      </w:r>
    </w:p>
    <w:p w14:paraId="52563B00" w14:textId="51121AFC" w:rsidR="00EF47AC" w:rsidRDefault="000077AC" w:rsidP="00853FBE">
      <w:pPr>
        <w:pStyle w:val="Textoindependiente"/>
        <w:ind w:firstLine="567"/>
        <w:rPr>
          <w:sz w:val="22"/>
          <w:szCs w:val="22"/>
        </w:rPr>
      </w:pPr>
      <w:r>
        <w:rPr>
          <w:sz w:val="22"/>
          <w:szCs w:val="22"/>
        </w:rPr>
        <w:t>No ha habido</w:t>
      </w:r>
      <w:r w:rsidR="00EF47AC" w:rsidRPr="00EF47AC">
        <w:rPr>
          <w:sz w:val="22"/>
          <w:szCs w:val="22"/>
        </w:rPr>
        <w:t xml:space="preserve"> baja de elementos de inmovilizado </w:t>
      </w:r>
      <w:r w:rsidR="00EF47AC">
        <w:rPr>
          <w:sz w:val="22"/>
          <w:szCs w:val="22"/>
        </w:rPr>
        <w:t>intangible</w:t>
      </w:r>
      <w:r w:rsidR="00EF47AC" w:rsidRPr="00EF47AC">
        <w:rPr>
          <w:sz w:val="22"/>
          <w:szCs w:val="22"/>
        </w:rPr>
        <w:t>.</w:t>
      </w:r>
    </w:p>
    <w:p w14:paraId="7E3094B0" w14:textId="77777777" w:rsidR="00853FBE" w:rsidRDefault="00853FBE" w:rsidP="00853FBE">
      <w:pPr>
        <w:pStyle w:val="Textoindependiente"/>
        <w:ind w:firstLine="567"/>
        <w:rPr>
          <w:sz w:val="22"/>
          <w:szCs w:val="22"/>
        </w:rPr>
      </w:pPr>
      <w:r>
        <w:rPr>
          <w:sz w:val="22"/>
          <w:szCs w:val="22"/>
        </w:rPr>
        <w:t>La Sociedad no dispone de compromisos firmes de compra y/o venta.</w:t>
      </w:r>
    </w:p>
    <w:p w14:paraId="28C51BC0" w14:textId="381747D3" w:rsidR="00853FBE" w:rsidRDefault="00853FBE" w:rsidP="00853FBE">
      <w:pPr>
        <w:pStyle w:val="Textoindependiente"/>
        <w:ind w:firstLine="567"/>
        <w:rPr>
          <w:sz w:val="22"/>
          <w:szCs w:val="22"/>
        </w:rPr>
      </w:pPr>
      <w:r>
        <w:rPr>
          <w:sz w:val="22"/>
          <w:szCs w:val="22"/>
        </w:rPr>
        <w:t xml:space="preserve">No existen inmovilizados </w:t>
      </w:r>
      <w:r w:rsidR="004610A6">
        <w:rPr>
          <w:sz w:val="22"/>
          <w:szCs w:val="22"/>
        </w:rPr>
        <w:t>intangibles cuya vida útil no se pueda determinar con fiabilidad</w:t>
      </w:r>
      <w:r>
        <w:rPr>
          <w:sz w:val="22"/>
          <w:szCs w:val="22"/>
        </w:rPr>
        <w:t>.</w:t>
      </w:r>
    </w:p>
    <w:p w14:paraId="301B0F8D" w14:textId="19305A35" w:rsidR="001E3B2F" w:rsidRDefault="001E3B2F" w:rsidP="00853FBE">
      <w:pPr>
        <w:pStyle w:val="Textoindependiente"/>
        <w:ind w:firstLine="567"/>
        <w:rPr>
          <w:sz w:val="22"/>
          <w:szCs w:val="22"/>
        </w:rPr>
      </w:pPr>
      <w:r>
        <w:rPr>
          <w:sz w:val="22"/>
          <w:szCs w:val="22"/>
        </w:rPr>
        <w:t>No existe fondo de comercio.</w:t>
      </w:r>
    </w:p>
    <w:p w14:paraId="2CC65950" w14:textId="77777777" w:rsidR="00853FBE" w:rsidRDefault="00853FBE" w:rsidP="00853FBE">
      <w:pPr>
        <w:pStyle w:val="Textoindependiente"/>
        <w:ind w:firstLine="567"/>
        <w:rPr>
          <w:sz w:val="22"/>
          <w:szCs w:val="22"/>
        </w:rPr>
      </w:pPr>
      <w:r>
        <w:rPr>
          <w:sz w:val="22"/>
          <w:szCs w:val="22"/>
        </w:rPr>
        <w:t xml:space="preserve">No existen arrendamientos, seguros, litigios ni embargos que afecten de forma sustantiva al inmovilizado intangible. </w:t>
      </w:r>
    </w:p>
    <w:p w14:paraId="4E3F62F7" w14:textId="77777777" w:rsidR="00853FBE" w:rsidRDefault="00853FBE" w:rsidP="00853FBE">
      <w:pPr>
        <w:pStyle w:val="Ttulo1"/>
        <w:spacing w:before="360" w:after="120"/>
        <w:ind w:left="567" w:hanging="567"/>
        <w:jc w:val="both"/>
        <w:rPr>
          <w:sz w:val="22"/>
          <w:szCs w:val="22"/>
        </w:rPr>
      </w:pPr>
      <w:bookmarkStart w:id="49" w:name="_Toc106814597"/>
      <w:r>
        <w:rPr>
          <w:sz w:val="22"/>
          <w:szCs w:val="22"/>
        </w:rPr>
        <w:t xml:space="preserve">8. </w:t>
      </w:r>
      <w:r>
        <w:rPr>
          <w:sz w:val="22"/>
          <w:szCs w:val="22"/>
        </w:rPr>
        <w:tab/>
      </w:r>
      <w:r w:rsidRPr="00D26479">
        <w:rPr>
          <w:sz w:val="22"/>
          <w:szCs w:val="22"/>
        </w:rPr>
        <w:t>Arrendamientos y otras operaciones de naturaleza similar</w:t>
      </w:r>
      <w:bookmarkEnd w:id="49"/>
    </w:p>
    <w:p w14:paraId="70C46C2E" w14:textId="77777777" w:rsidR="00853FBE" w:rsidRDefault="00853FBE" w:rsidP="00853FBE">
      <w:pPr>
        <w:pStyle w:val="Ttulo2"/>
        <w:ind w:left="0"/>
        <w:rPr>
          <w:bCs w:val="0"/>
          <w:iCs/>
          <w:sz w:val="22"/>
        </w:rPr>
      </w:pPr>
      <w:bookmarkStart w:id="50" w:name="_Toc106814598"/>
      <w:r>
        <w:rPr>
          <w:bCs w:val="0"/>
          <w:iCs/>
          <w:sz w:val="22"/>
        </w:rPr>
        <w:t xml:space="preserve">8.1 </w:t>
      </w:r>
      <w:r>
        <w:rPr>
          <w:bCs w:val="0"/>
          <w:iCs/>
          <w:sz w:val="22"/>
        </w:rPr>
        <w:tab/>
        <w:t>Arrendamientos financieros</w:t>
      </w:r>
      <w:bookmarkEnd w:id="50"/>
    </w:p>
    <w:p w14:paraId="3A77015E" w14:textId="77777777" w:rsidR="00853FBE" w:rsidRDefault="00853FBE" w:rsidP="00853FBE">
      <w:pPr>
        <w:pStyle w:val="Textoindependiente"/>
        <w:ind w:left="-360"/>
      </w:pPr>
      <w:r>
        <w:tab/>
      </w:r>
      <w:r>
        <w:tab/>
      </w:r>
      <w:r w:rsidRPr="00046DC3">
        <w:rPr>
          <w:sz w:val="22"/>
          <w:szCs w:val="22"/>
        </w:rPr>
        <w:t>La Sociedad no tiene arrendamiento financiero.</w:t>
      </w:r>
      <w:r>
        <w:t xml:space="preserve"> </w:t>
      </w:r>
    </w:p>
    <w:p w14:paraId="027C5948" w14:textId="77777777" w:rsidR="00853FBE" w:rsidRDefault="00853FBE" w:rsidP="00853FBE">
      <w:pPr>
        <w:pStyle w:val="Ttulo2"/>
        <w:ind w:left="0"/>
        <w:rPr>
          <w:bCs w:val="0"/>
          <w:iCs/>
          <w:sz w:val="22"/>
        </w:rPr>
      </w:pPr>
      <w:bookmarkStart w:id="51" w:name="_Toc106814599"/>
      <w:r>
        <w:rPr>
          <w:bCs w:val="0"/>
          <w:iCs/>
          <w:sz w:val="22"/>
        </w:rPr>
        <w:t xml:space="preserve">8.2 </w:t>
      </w:r>
      <w:r>
        <w:rPr>
          <w:bCs w:val="0"/>
          <w:iCs/>
          <w:sz w:val="22"/>
        </w:rPr>
        <w:tab/>
      </w:r>
      <w:r w:rsidRPr="00BC6C67">
        <w:rPr>
          <w:bCs w:val="0"/>
          <w:iCs/>
          <w:sz w:val="22"/>
        </w:rPr>
        <w:t>Arrendamientos operativos</w:t>
      </w:r>
      <w:bookmarkEnd w:id="51"/>
    </w:p>
    <w:p w14:paraId="7779C25F" w14:textId="77777777" w:rsidR="003E262B" w:rsidRDefault="00853FBE" w:rsidP="00853FBE">
      <w:pPr>
        <w:pStyle w:val="Textoindependiente"/>
        <w:ind w:firstLine="708"/>
      </w:pPr>
      <w:r>
        <w:rPr>
          <w:sz w:val="22"/>
          <w:szCs w:val="22"/>
        </w:rPr>
        <w:t>La información de los arrendamientos operativos que arrienda la Sociedad es la siguiente:</w:t>
      </w:r>
    </w:p>
    <w:p w14:paraId="52DE729C" w14:textId="77777777" w:rsidR="00853FBE" w:rsidRDefault="00853FBE" w:rsidP="00853FBE">
      <w:pPr>
        <w:pStyle w:val="Textoindependiente"/>
        <w:ind w:firstLine="708"/>
        <w:rPr>
          <w:sz w:val="22"/>
          <w:szCs w:val="22"/>
        </w:rPr>
      </w:pPr>
    </w:p>
    <w:bookmarkStart w:id="52" w:name="_MON_1486159774"/>
    <w:bookmarkEnd w:id="52"/>
    <w:p w14:paraId="7C44C322" w14:textId="69CD07BD" w:rsidR="0012137F" w:rsidRDefault="00750028" w:rsidP="00050873">
      <w:pPr>
        <w:pStyle w:val="Textoindependiente"/>
        <w:ind w:left="-360"/>
        <w:rPr>
          <w:sz w:val="22"/>
          <w:szCs w:val="22"/>
        </w:rPr>
      </w:pPr>
      <w:r w:rsidRPr="00EA0F71">
        <w:rPr>
          <w:rFonts w:ascii="Calibri" w:hAnsi="Calibri"/>
          <w:sz w:val="18"/>
          <w:szCs w:val="18"/>
        </w:rPr>
        <w:object w:dxaOrig="9677" w:dyaOrig="1922" w14:anchorId="2E254873">
          <v:shape id="_x0000_i1032" type="#_x0000_t75" style="width:489.75pt;height:100.5pt" o:ole="">
            <v:imagedata r:id="rId24" o:title=""/>
          </v:shape>
          <o:OLEObject Type="Embed" ProgID="Excel.Sheet.8" ShapeID="_x0000_i1032" DrawAspect="Content" ObjectID="_1717427613" r:id="rId25"/>
        </w:object>
      </w:r>
    </w:p>
    <w:p w14:paraId="34184056" w14:textId="0FCE1D79" w:rsidR="00853FBE" w:rsidRDefault="00853FBE" w:rsidP="003E262B">
      <w:pPr>
        <w:pStyle w:val="Textoindependiente"/>
        <w:ind w:firstLine="708"/>
        <w:rPr>
          <w:sz w:val="22"/>
          <w:szCs w:val="22"/>
        </w:rPr>
      </w:pPr>
      <w:r w:rsidRPr="00750028">
        <w:rPr>
          <w:sz w:val="22"/>
          <w:szCs w:val="22"/>
        </w:rPr>
        <w:t xml:space="preserve">Las cantidades indicadas en la tabla anterior son las correspondientes a los arrendamientos operativos. En concreto, las acordadas en </w:t>
      </w:r>
      <w:r w:rsidR="00795A76" w:rsidRPr="00750028">
        <w:rPr>
          <w:sz w:val="22"/>
          <w:szCs w:val="22"/>
        </w:rPr>
        <w:t xml:space="preserve">cuatro </w:t>
      </w:r>
      <w:r w:rsidRPr="00750028">
        <w:rPr>
          <w:sz w:val="22"/>
          <w:szCs w:val="22"/>
        </w:rPr>
        <w:t>contra</w:t>
      </w:r>
      <w:r w:rsidR="003E262B" w:rsidRPr="00750028">
        <w:rPr>
          <w:sz w:val="22"/>
          <w:szCs w:val="22"/>
        </w:rPr>
        <w:t>to</w:t>
      </w:r>
      <w:r w:rsidR="00277292" w:rsidRPr="00750028">
        <w:rPr>
          <w:sz w:val="22"/>
          <w:szCs w:val="22"/>
        </w:rPr>
        <w:t>s</w:t>
      </w:r>
      <w:r w:rsidR="003E262B" w:rsidRPr="00750028">
        <w:rPr>
          <w:sz w:val="22"/>
          <w:szCs w:val="22"/>
        </w:rPr>
        <w:t xml:space="preserve"> con </w:t>
      </w:r>
      <w:r w:rsidR="003E262B" w:rsidRPr="00750028">
        <w:rPr>
          <w:sz w:val="22"/>
          <w:szCs w:val="22"/>
        </w:rPr>
        <w:lastRenderedPageBreak/>
        <w:t>vencimiento en 202</w:t>
      </w:r>
      <w:r w:rsidR="00750028" w:rsidRPr="00750028">
        <w:rPr>
          <w:sz w:val="22"/>
          <w:szCs w:val="22"/>
        </w:rPr>
        <w:t>8</w:t>
      </w:r>
      <w:r w:rsidR="003E262B" w:rsidRPr="00750028">
        <w:rPr>
          <w:sz w:val="22"/>
          <w:szCs w:val="22"/>
        </w:rPr>
        <w:t xml:space="preserve">, </w:t>
      </w:r>
      <w:r w:rsidR="00750028" w:rsidRPr="00750028">
        <w:rPr>
          <w:sz w:val="22"/>
          <w:szCs w:val="22"/>
        </w:rPr>
        <w:t>tres con vencimiento en 2027, siete</w:t>
      </w:r>
      <w:r w:rsidR="00277292" w:rsidRPr="00750028">
        <w:rPr>
          <w:sz w:val="22"/>
          <w:szCs w:val="22"/>
        </w:rPr>
        <w:t xml:space="preserve"> con vencimiento en 202</w:t>
      </w:r>
      <w:r w:rsidR="00795A76" w:rsidRPr="00750028">
        <w:rPr>
          <w:sz w:val="22"/>
          <w:szCs w:val="22"/>
        </w:rPr>
        <w:t>6</w:t>
      </w:r>
      <w:r w:rsidR="00277292" w:rsidRPr="00750028">
        <w:rPr>
          <w:sz w:val="22"/>
          <w:szCs w:val="22"/>
        </w:rPr>
        <w:t xml:space="preserve">, </w:t>
      </w:r>
      <w:r w:rsidR="00750028" w:rsidRPr="00750028">
        <w:rPr>
          <w:sz w:val="22"/>
          <w:szCs w:val="22"/>
        </w:rPr>
        <w:t xml:space="preserve">dos con vencimiento en 2025 y </w:t>
      </w:r>
      <w:r w:rsidR="00795A76" w:rsidRPr="00750028">
        <w:rPr>
          <w:sz w:val="22"/>
          <w:szCs w:val="22"/>
        </w:rPr>
        <w:t>uno</w:t>
      </w:r>
      <w:r w:rsidR="00BC6C67" w:rsidRPr="00750028">
        <w:rPr>
          <w:sz w:val="22"/>
          <w:szCs w:val="22"/>
        </w:rPr>
        <w:t xml:space="preserve"> con vencimiento en 202</w:t>
      </w:r>
      <w:r w:rsidR="00750028" w:rsidRPr="00750028">
        <w:rPr>
          <w:sz w:val="22"/>
          <w:szCs w:val="22"/>
        </w:rPr>
        <w:t>4</w:t>
      </w:r>
      <w:r w:rsidRPr="00750028">
        <w:rPr>
          <w:sz w:val="22"/>
          <w:szCs w:val="22"/>
        </w:rPr>
        <w:t>. El resto de los contratos en vigor han superado el período inicial de arrendamiento y se han renovado automáticamente con prórrogas anuales, según los acuerdos pactados a la firma de dichos contratos. En ninguno hay opción de compra.</w:t>
      </w:r>
      <w:r w:rsidRPr="00A72BF7">
        <w:rPr>
          <w:sz w:val="22"/>
          <w:szCs w:val="22"/>
        </w:rPr>
        <w:t xml:space="preserve"> </w:t>
      </w:r>
    </w:p>
    <w:p w14:paraId="2168EFD2" w14:textId="1288F1F8" w:rsidR="00853FBE" w:rsidRPr="00A72BF7" w:rsidRDefault="00853FBE" w:rsidP="003E262B">
      <w:pPr>
        <w:pStyle w:val="Textoindependiente"/>
        <w:ind w:firstLine="708"/>
        <w:rPr>
          <w:sz w:val="22"/>
          <w:szCs w:val="22"/>
        </w:rPr>
      </w:pPr>
      <w:r>
        <w:rPr>
          <w:sz w:val="22"/>
          <w:szCs w:val="22"/>
        </w:rPr>
        <w:t xml:space="preserve">Los bienes arrendados son locales situados en el Centro Comercial </w:t>
      </w:r>
      <w:proofErr w:type="spellStart"/>
      <w:r>
        <w:rPr>
          <w:sz w:val="22"/>
          <w:szCs w:val="22"/>
        </w:rPr>
        <w:t>Vallemar</w:t>
      </w:r>
      <w:proofErr w:type="spellEnd"/>
      <w:r>
        <w:rPr>
          <w:sz w:val="22"/>
          <w:szCs w:val="22"/>
        </w:rPr>
        <w:t xml:space="preserve">, en el Hotel </w:t>
      </w:r>
      <w:proofErr w:type="spellStart"/>
      <w:r>
        <w:rPr>
          <w:sz w:val="22"/>
          <w:szCs w:val="22"/>
        </w:rPr>
        <w:t>Vallemar</w:t>
      </w:r>
      <w:proofErr w:type="spellEnd"/>
      <w:r>
        <w:rPr>
          <w:sz w:val="22"/>
          <w:szCs w:val="22"/>
        </w:rPr>
        <w:t xml:space="preserve"> y en el Hotel </w:t>
      </w:r>
      <w:proofErr w:type="spellStart"/>
      <w:r>
        <w:rPr>
          <w:sz w:val="22"/>
          <w:szCs w:val="22"/>
        </w:rPr>
        <w:t>Nivaria</w:t>
      </w:r>
      <w:proofErr w:type="spellEnd"/>
      <w:r>
        <w:rPr>
          <w:sz w:val="22"/>
          <w:szCs w:val="22"/>
        </w:rPr>
        <w:t xml:space="preserve">, así como </w:t>
      </w:r>
      <w:r w:rsidR="008A610C">
        <w:rPr>
          <w:sz w:val="22"/>
          <w:szCs w:val="22"/>
        </w:rPr>
        <w:t>treinta</w:t>
      </w:r>
      <w:r w:rsidR="003E262B">
        <w:rPr>
          <w:sz w:val="22"/>
          <w:szCs w:val="22"/>
        </w:rPr>
        <w:t xml:space="preserve"> viviendas en</w:t>
      </w:r>
      <w:r>
        <w:rPr>
          <w:sz w:val="22"/>
          <w:szCs w:val="22"/>
        </w:rPr>
        <w:t xml:space="preserve"> la Urbanización la Zamora.</w:t>
      </w:r>
    </w:p>
    <w:p w14:paraId="51C51731" w14:textId="77777777" w:rsidR="00853FBE" w:rsidRDefault="00853FBE" w:rsidP="00853FBE">
      <w:pPr>
        <w:pStyle w:val="Ttulo1"/>
        <w:spacing w:before="360" w:after="120"/>
        <w:ind w:left="567" w:hanging="567"/>
        <w:jc w:val="both"/>
        <w:rPr>
          <w:sz w:val="22"/>
          <w:szCs w:val="22"/>
        </w:rPr>
      </w:pPr>
      <w:bookmarkStart w:id="53" w:name="_Toc106814600"/>
      <w:r>
        <w:rPr>
          <w:sz w:val="22"/>
          <w:szCs w:val="22"/>
        </w:rPr>
        <w:t xml:space="preserve">9. </w:t>
      </w:r>
      <w:r>
        <w:rPr>
          <w:sz w:val="22"/>
          <w:szCs w:val="22"/>
        </w:rPr>
        <w:tab/>
        <w:t>Instrumentos financieros</w:t>
      </w:r>
      <w:bookmarkEnd w:id="53"/>
    </w:p>
    <w:p w14:paraId="11178CB8" w14:textId="77777777" w:rsidR="00853FBE" w:rsidRDefault="00853FBE" w:rsidP="00853FBE">
      <w:pPr>
        <w:pStyle w:val="Ttulo2"/>
        <w:ind w:left="0"/>
        <w:rPr>
          <w:bCs w:val="0"/>
          <w:iCs/>
          <w:sz w:val="22"/>
        </w:rPr>
      </w:pPr>
      <w:bookmarkStart w:id="54" w:name="_Toc106814601"/>
      <w:r>
        <w:rPr>
          <w:bCs w:val="0"/>
          <w:iCs/>
          <w:sz w:val="22"/>
        </w:rPr>
        <w:t xml:space="preserve">9.1 </w:t>
      </w:r>
      <w:r>
        <w:rPr>
          <w:bCs w:val="0"/>
          <w:iCs/>
          <w:sz w:val="22"/>
        </w:rPr>
        <w:tab/>
        <w:t>Información sobre la relevancia de los instrumentos financieros en la situación financiera y los resultados de la empresa</w:t>
      </w:r>
      <w:bookmarkEnd w:id="54"/>
    </w:p>
    <w:p w14:paraId="4F7E211F" w14:textId="77777777" w:rsidR="00853FBE" w:rsidRDefault="00853FBE" w:rsidP="00853FBE">
      <w:pPr>
        <w:rPr>
          <w:b/>
          <w:sz w:val="22"/>
          <w:szCs w:val="22"/>
        </w:rPr>
      </w:pPr>
    </w:p>
    <w:p w14:paraId="34C97788" w14:textId="77777777" w:rsidR="00853FBE" w:rsidRDefault="00853FBE" w:rsidP="00853FBE">
      <w:pPr>
        <w:rPr>
          <w:b/>
          <w:sz w:val="22"/>
          <w:szCs w:val="22"/>
        </w:rPr>
      </w:pPr>
      <w:r>
        <w:rPr>
          <w:b/>
          <w:sz w:val="22"/>
          <w:szCs w:val="22"/>
        </w:rPr>
        <w:t>a) Categorías de activos financieros y pasivos financieros</w:t>
      </w:r>
    </w:p>
    <w:p w14:paraId="2FFB6B02" w14:textId="77777777" w:rsidR="00853FBE" w:rsidRDefault="00853FBE" w:rsidP="00853FBE">
      <w:pPr>
        <w:pStyle w:val="Textoindependiente"/>
        <w:ind w:firstLine="567"/>
        <w:rPr>
          <w:sz w:val="22"/>
          <w:szCs w:val="22"/>
        </w:rPr>
      </w:pPr>
      <w:r>
        <w:rPr>
          <w:sz w:val="22"/>
          <w:szCs w:val="22"/>
        </w:rPr>
        <w:t>El valor en libros de cada una de las categorías de activos financieros y pasivos financieros señalados en la norma de registro y valoración novena, de acuerdo con la siguiente estructura.</w:t>
      </w:r>
    </w:p>
    <w:p w14:paraId="5B44F3F5" w14:textId="77777777" w:rsidR="00853FBE" w:rsidRDefault="00853FBE" w:rsidP="00853FBE">
      <w:pPr>
        <w:pStyle w:val="Textoindependiente"/>
        <w:rPr>
          <w:sz w:val="22"/>
          <w:szCs w:val="22"/>
        </w:rPr>
      </w:pPr>
    </w:p>
    <w:p w14:paraId="7F4FDBBC" w14:textId="77777777" w:rsidR="00853FBE" w:rsidRDefault="00853FBE" w:rsidP="00853FBE">
      <w:pPr>
        <w:pStyle w:val="Textoindependiente"/>
        <w:ind w:left="567"/>
        <w:rPr>
          <w:b/>
          <w:sz w:val="22"/>
          <w:szCs w:val="22"/>
        </w:rPr>
      </w:pPr>
      <w:r>
        <w:rPr>
          <w:b/>
          <w:sz w:val="22"/>
          <w:szCs w:val="22"/>
        </w:rPr>
        <w:t>a.1) Activos financieros, salvo inversiones en el patrimonio de empresas del grupo, multigrupo y asociadas.</w:t>
      </w:r>
    </w:p>
    <w:p w14:paraId="35ADC46B" w14:textId="77777777" w:rsidR="00853FBE" w:rsidRDefault="00853FBE" w:rsidP="00853FBE">
      <w:pPr>
        <w:pStyle w:val="Textoindependiente"/>
        <w:ind w:left="567" w:firstLine="141"/>
        <w:rPr>
          <w:sz w:val="22"/>
          <w:szCs w:val="22"/>
        </w:rPr>
      </w:pPr>
      <w:r>
        <w:rPr>
          <w:sz w:val="22"/>
          <w:szCs w:val="22"/>
        </w:rPr>
        <w:t>La información de los instrumentos financieros del activo del balance de la Sociedad a largo plazo, clasificados por categorías es:</w:t>
      </w:r>
    </w:p>
    <w:bookmarkStart w:id="55" w:name="_MON_1309095677"/>
    <w:bookmarkStart w:id="56" w:name="_MON_1328267070"/>
    <w:bookmarkStart w:id="57" w:name="_MON_1328267380"/>
    <w:bookmarkStart w:id="58" w:name="_MON_1328267417"/>
    <w:bookmarkEnd w:id="55"/>
    <w:bookmarkEnd w:id="56"/>
    <w:bookmarkEnd w:id="57"/>
    <w:bookmarkEnd w:id="58"/>
    <w:bookmarkStart w:id="59" w:name="_MON_1330153694"/>
    <w:bookmarkEnd w:id="59"/>
    <w:p w14:paraId="6654FFEE" w14:textId="088B7CBD" w:rsidR="00853FBE" w:rsidRDefault="00F157F5" w:rsidP="00853FBE">
      <w:pPr>
        <w:pStyle w:val="Textoindependiente"/>
        <w:ind w:left="-480"/>
        <w:rPr>
          <w:sz w:val="22"/>
          <w:szCs w:val="22"/>
        </w:rPr>
      </w:pPr>
      <w:r w:rsidRPr="006B7FF3">
        <w:rPr>
          <w:noProof/>
          <w:sz w:val="22"/>
          <w:szCs w:val="22"/>
        </w:rPr>
        <w:object w:dxaOrig="8905" w:dyaOrig="3751" w14:anchorId="4825D3A2">
          <v:shape id="_x0000_i1033" type="#_x0000_t75" alt="" style="width:480.75pt;height:203.25pt" o:ole="">
            <v:imagedata r:id="rId26" o:title=""/>
          </v:shape>
          <o:OLEObject Type="Embed" ProgID="Excel.Sheet.8" ShapeID="_x0000_i1033" DrawAspect="Content" ObjectID="_1717427614" r:id="rId27"/>
        </w:object>
      </w:r>
    </w:p>
    <w:p w14:paraId="65EB3D1A" w14:textId="77777777" w:rsidR="00853FBE" w:rsidRDefault="00853FBE" w:rsidP="00853FBE">
      <w:pPr>
        <w:pStyle w:val="Textoindependiente"/>
        <w:ind w:left="567" w:firstLine="141"/>
        <w:rPr>
          <w:sz w:val="22"/>
          <w:szCs w:val="22"/>
        </w:rPr>
      </w:pPr>
      <w:r>
        <w:rPr>
          <w:sz w:val="22"/>
          <w:szCs w:val="22"/>
        </w:rPr>
        <w:t>Los activos valorados a coste son fianzas recibidas por los alquileres que debido a su cuantía y vencimiento, en algunos casos indeterminados por ser contratos renovables año a año, se valoran al costo.</w:t>
      </w:r>
    </w:p>
    <w:p w14:paraId="0C940104" w14:textId="15ED7D02" w:rsidR="00853FBE" w:rsidRDefault="00853FBE" w:rsidP="00853FBE">
      <w:pPr>
        <w:pStyle w:val="Textoindependiente"/>
        <w:ind w:left="567" w:firstLine="141"/>
        <w:rPr>
          <w:sz w:val="22"/>
          <w:szCs w:val="22"/>
        </w:rPr>
      </w:pPr>
      <w:r>
        <w:rPr>
          <w:sz w:val="22"/>
          <w:szCs w:val="22"/>
        </w:rPr>
        <w:t>La información de los instrumentos financieros del activo del balance de la sociedad a corto plazo, sin considerar el efectivo y otros activos equivalente</w:t>
      </w:r>
      <w:r w:rsidR="00416A91">
        <w:rPr>
          <w:sz w:val="22"/>
          <w:szCs w:val="22"/>
        </w:rPr>
        <w:t>s</w:t>
      </w:r>
      <w:r>
        <w:rPr>
          <w:sz w:val="22"/>
          <w:szCs w:val="22"/>
        </w:rPr>
        <w:t>, clasificados por categorías, es la que se muestra a continuación:</w:t>
      </w:r>
    </w:p>
    <w:bookmarkStart w:id="60" w:name="_MON_1717071505"/>
    <w:bookmarkEnd w:id="60"/>
    <w:p w14:paraId="24F79F84" w14:textId="0F1E4021" w:rsidR="00853FBE" w:rsidRDefault="00F157F5" w:rsidP="00853FBE">
      <w:pPr>
        <w:pStyle w:val="Textoindependiente"/>
        <w:ind w:left="-480"/>
        <w:rPr>
          <w:rFonts w:ascii="Calibri" w:hAnsi="Calibri"/>
          <w:sz w:val="18"/>
          <w:szCs w:val="18"/>
        </w:rPr>
      </w:pPr>
      <w:r w:rsidRPr="006B7FF3">
        <w:rPr>
          <w:noProof/>
          <w:sz w:val="22"/>
          <w:szCs w:val="22"/>
        </w:rPr>
        <w:object w:dxaOrig="8905" w:dyaOrig="3751" w14:anchorId="742B8167">
          <v:shape id="_x0000_i1034" type="#_x0000_t75" alt="" style="width:480.75pt;height:203.25pt" o:ole="">
            <v:imagedata r:id="rId28" o:title=""/>
          </v:shape>
          <o:OLEObject Type="Embed" ProgID="Excel.Sheet.8" ShapeID="_x0000_i1034" DrawAspect="Content" ObjectID="_1717427615" r:id="rId29"/>
        </w:object>
      </w:r>
    </w:p>
    <w:p w14:paraId="427CB189" w14:textId="312D6399" w:rsidR="00F06DDE" w:rsidRPr="00F06DDE" w:rsidRDefault="00F06DDE" w:rsidP="00A339BC">
      <w:pPr>
        <w:pStyle w:val="Textoindependiente"/>
        <w:ind w:firstLine="567"/>
        <w:rPr>
          <w:sz w:val="22"/>
          <w:szCs w:val="22"/>
        </w:rPr>
      </w:pPr>
      <w:r w:rsidRPr="00F06DDE">
        <w:rPr>
          <w:sz w:val="22"/>
          <w:szCs w:val="22"/>
        </w:rPr>
        <w:t xml:space="preserve">La información del </w:t>
      </w:r>
      <w:r w:rsidRPr="00F06DDE">
        <w:rPr>
          <w:b/>
          <w:sz w:val="22"/>
          <w:szCs w:val="22"/>
        </w:rPr>
        <w:t>efectivo y otros activos líquidos equivalentes</w:t>
      </w:r>
      <w:r w:rsidRPr="00F06DDE">
        <w:rPr>
          <w:sz w:val="22"/>
          <w:szCs w:val="22"/>
        </w:rPr>
        <w:t>, es la siguiente:</w:t>
      </w:r>
    </w:p>
    <w:bookmarkStart w:id="61" w:name="_MON_1486159848"/>
    <w:bookmarkEnd w:id="61"/>
    <w:bookmarkStart w:id="62" w:name="_MON_1483523273"/>
    <w:bookmarkEnd w:id="62"/>
    <w:p w14:paraId="44B3A7F1" w14:textId="66666110" w:rsidR="00F06DDE" w:rsidRPr="00F06DDE" w:rsidRDefault="00F157F5" w:rsidP="00F06DDE">
      <w:pPr>
        <w:pStyle w:val="Textoindependiente"/>
        <w:ind w:left="-480"/>
        <w:rPr>
          <w:sz w:val="22"/>
          <w:szCs w:val="22"/>
        </w:rPr>
      </w:pPr>
      <w:r w:rsidRPr="00EA0F71">
        <w:rPr>
          <w:rFonts w:ascii="Calibri" w:hAnsi="Calibri"/>
          <w:sz w:val="18"/>
          <w:szCs w:val="18"/>
        </w:rPr>
        <w:object w:dxaOrig="7481" w:dyaOrig="1254" w14:anchorId="43EB8D2F">
          <v:shape id="_x0000_i1035" type="#_x0000_t75" style="width:374.25pt;height:64.5pt" o:ole="">
            <v:imagedata r:id="rId30" o:title=""/>
          </v:shape>
          <o:OLEObject Type="Embed" ProgID="Excel.Sheet.8" ShapeID="_x0000_i1035" DrawAspect="Content" ObjectID="_1717427616" r:id="rId31"/>
        </w:object>
      </w:r>
    </w:p>
    <w:p w14:paraId="21DC9339" w14:textId="3552B8A7" w:rsidR="00F06DDE" w:rsidRDefault="00F06DDE" w:rsidP="00F06DDE">
      <w:pPr>
        <w:pStyle w:val="Textoindependiente"/>
        <w:ind w:firstLine="567"/>
        <w:rPr>
          <w:sz w:val="22"/>
          <w:szCs w:val="22"/>
        </w:rPr>
      </w:pPr>
      <w:r w:rsidRPr="00F06DDE">
        <w:rPr>
          <w:sz w:val="22"/>
          <w:szCs w:val="22"/>
        </w:rPr>
        <w:t>El total de efectivo y otros activos líquidos equivalentes se incluye en el estado de flujos de efectivo</w:t>
      </w:r>
      <w:r>
        <w:rPr>
          <w:sz w:val="22"/>
          <w:szCs w:val="22"/>
        </w:rPr>
        <w:t>.</w:t>
      </w:r>
    </w:p>
    <w:p w14:paraId="4182B0DD" w14:textId="3CF1BC90" w:rsidR="00A339BC" w:rsidRDefault="00A339BC" w:rsidP="00A339BC">
      <w:pPr>
        <w:pStyle w:val="Textoindependiente"/>
        <w:ind w:firstLine="567"/>
        <w:rPr>
          <w:sz w:val="22"/>
          <w:szCs w:val="22"/>
        </w:rPr>
      </w:pPr>
      <w:r>
        <w:rPr>
          <w:sz w:val="22"/>
          <w:szCs w:val="22"/>
        </w:rPr>
        <w:t xml:space="preserve">La Sociedad ha abierto una cuenta corriente Luxemburgo, contabilizada según lo dispuesto en </w:t>
      </w:r>
      <w:proofErr w:type="spellStart"/>
      <w:r w:rsidRPr="00A339BC">
        <w:rPr>
          <w:sz w:val="22"/>
          <w:szCs w:val="22"/>
        </w:rPr>
        <w:t>en</w:t>
      </w:r>
      <w:proofErr w:type="spellEnd"/>
      <w:r w:rsidRPr="00A339BC">
        <w:rPr>
          <w:sz w:val="22"/>
          <w:szCs w:val="22"/>
        </w:rPr>
        <w:t xml:space="preserve"> la letra b del apartado 4 del artículo 42 bis del Reglamento General aprobado por</w:t>
      </w:r>
      <w:r>
        <w:rPr>
          <w:sz w:val="22"/>
          <w:szCs w:val="22"/>
        </w:rPr>
        <w:t xml:space="preserve"> </w:t>
      </w:r>
      <w:r w:rsidRPr="00A339BC">
        <w:rPr>
          <w:sz w:val="22"/>
          <w:szCs w:val="22"/>
        </w:rPr>
        <w:t>el RD 1065/2007, de 27 de julio</w:t>
      </w:r>
      <w:r>
        <w:rPr>
          <w:sz w:val="22"/>
          <w:szCs w:val="22"/>
        </w:rPr>
        <w:t xml:space="preserve">. </w:t>
      </w:r>
    </w:p>
    <w:p w14:paraId="271D70BE" w14:textId="77777777" w:rsidR="00F06DDE" w:rsidRDefault="00F06DDE" w:rsidP="00F06DDE">
      <w:pPr>
        <w:pStyle w:val="Textoindependiente"/>
        <w:ind w:left="-480"/>
        <w:rPr>
          <w:sz w:val="22"/>
          <w:szCs w:val="22"/>
        </w:rPr>
      </w:pPr>
    </w:p>
    <w:p w14:paraId="4AAF531C" w14:textId="77777777" w:rsidR="00853FBE" w:rsidRDefault="00853FBE" w:rsidP="00853FBE">
      <w:pPr>
        <w:pStyle w:val="Textoindependiente"/>
        <w:ind w:left="567"/>
        <w:rPr>
          <w:b/>
          <w:sz w:val="22"/>
          <w:szCs w:val="22"/>
        </w:rPr>
      </w:pPr>
      <w:r>
        <w:rPr>
          <w:b/>
          <w:sz w:val="22"/>
          <w:szCs w:val="22"/>
        </w:rPr>
        <w:t>a.2) Pasivos financieros.</w:t>
      </w:r>
    </w:p>
    <w:p w14:paraId="43142FF0" w14:textId="77777777" w:rsidR="00853FBE" w:rsidRDefault="00853FBE" w:rsidP="00853FBE">
      <w:pPr>
        <w:pStyle w:val="Textoindependiente"/>
        <w:ind w:left="567" w:firstLine="141"/>
        <w:rPr>
          <w:sz w:val="22"/>
          <w:szCs w:val="22"/>
        </w:rPr>
      </w:pPr>
      <w:r>
        <w:rPr>
          <w:sz w:val="22"/>
          <w:szCs w:val="22"/>
        </w:rPr>
        <w:t>Los instrumentos financieros del pasivo del balance de la sociedad a largo plazo, clasificados por categorías son:</w:t>
      </w:r>
    </w:p>
    <w:bookmarkStart w:id="63" w:name="_MON_1295277425"/>
    <w:bookmarkStart w:id="64" w:name="_MON_1328265822"/>
    <w:bookmarkStart w:id="65" w:name="_MON_1328266132"/>
    <w:bookmarkStart w:id="66" w:name="_MON_1328266165"/>
    <w:bookmarkEnd w:id="63"/>
    <w:bookmarkEnd w:id="64"/>
    <w:bookmarkEnd w:id="65"/>
    <w:bookmarkEnd w:id="66"/>
    <w:bookmarkStart w:id="67" w:name="_MON_1330153735"/>
    <w:bookmarkEnd w:id="67"/>
    <w:p w14:paraId="787FF110" w14:textId="43799F81" w:rsidR="00853FBE" w:rsidRDefault="00F157F5" w:rsidP="00853FBE">
      <w:pPr>
        <w:pStyle w:val="Textoindependiente"/>
        <w:ind w:left="-480"/>
        <w:rPr>
          <w:sz w:val="22"/>
          <w:szCs w:val="22"/>
        </w:rPr>
      </w:pPr>
      <w:r w:rsidRPr="00FF67E9">
        <w:rPr>
          <w:noProof/>
          <w:sz w:val="22"/>
          <w:szCs w:val="22"/>
        </w:rPr>
        <w:object w:dxaOrig="9677" w:dyaOrig="3056" w14:anchorId="35BCB75F">
          <v:shape id="_x0000_i1036" type="#_x0000_t75" alt="" style="width:502.5pt;height:159.75pt" o:ole="">
            <v:imagedata r:id="rId32" o:title=""/>
          </v:shape>
          <o:OLEObject Type="Embed" ProgID="Excel.Sheet.8" ShapeID="_x0000_i1036" DrawAspect="Content" ObjectID="_1717427617" r:id="rId33"/>
        </w:object>
      </w:r>
    </w:p>
    <w:p w14:paraId="5F4FDBB6" w14:textId="55B60E88" w:rsidR="00853FBE" w:rsidRDefault="00853FBE" w:rsidP="00853FBE">
      <w:pPr>
        <w:pStyle w:val="Textoindependiente"/>
        <w:ind w:left="567" w:firstLine="141"/>
        <w:rPr>
          <w:sz w:val="22"/>
          <w:szCs w:val="22"/>
        </w:rPr>
      </w:pPr>
      <w:r>
        <w:rPr>
          <w:sz w:val="22"/>
          <w:szCs w:val="22"/>
        </w:rPr>
        <w:t xml:space="preserve">Se incluyen dentro del capítulo de débitos y partidas a pagar las fianzas a largo plazo depositadas en el Gobierno de Canarias por los alquileres. </w:t>
      </w:r>
    </w:p>
    <w:p w14:paraId="15ACBA59" w14:textId="7641AC3E" w:rsidR="00853FBE" w:rsidRDefault="00853FBE" w:rsidP="00853FBE">
      <w:pPr>
        <w:pStyle w:val="Textoindependiente"/>
        <w:ind w:left="567" w:firstLine="141"/>
        <w:rPr>
          <w:sz w:val="22"/>
          <w:szCs w:val="22"/>
        </w:rPr>
      </w:pPr>
      <w:r>
        <w:rPr>
          <w:sz w:val="22"/>
          <w:szCs w:val="22"/>
        </w:rPr>
        <w:lastRenderedPageBreak/>
        <w:t xml:space="preserve">La información de los instrumentos financieros del pasivo del balance de la Sociedad a corto plazo, clasificados por categorías a 31 de diciembre de </w:t>
      </w:r>
      <w:r w:rsidR="000253BC">
        <w:rPr>
          <w:sz w:val="22"/>
          <w:szCs w:val="22"/>
        </w:rPr>
        <w:t>2021</w:t>
      </w:r>
      <w:r>
        <w:rPr>
          <w:sz w:val="22"/>
          <w:szCs w:val="22"/>
        </w:rPr>
        <w:t>, es:</w:t>
      </w:r>
    </w:p>
    <w:bookmarkStart w:id="68" w:name="_MON_1486159874"/>
    <w:bookmarkStart w:id="69" w:name="_MON_1717071880"/>
    <w:bookmarkEnd w:id="68"/>
    <w:bookmarkEnd w:id="69"/>
    <w:bookmarkStart w:id="70" w:name="_MON_1330153754"/>
    <w:bookmarkEnd w:id="70"/>
    <w:p w14:paraId="1E75AB05" w14:textId="18FE66B8" w:rsidR="00853FBE" w:rsidRDefault="00F157F5" w:rsidP="00853FBE">
      <w:pPr>
        <w:pStyle w:val="Textoindependiente"/>
        <w:ind w:left="-600"/>
        <w:rPr>
          <w:rFonts w:ascii="Calibri" w:hAnsi="Calibri"/>
          <w:sz w:val="18"/>
          <w:szCs w:val="18"/>
        </w:rPr>
      </w:pPr>
      <w:r w:rsidRPr="00FF67E9">
        <w:rPr>
          <w:noProof/>
          <w:sz w:val="22"/>
          <w:szCs w:val="22"/>
        </w:rPr>
        <w:object w:dxaOrig="9677" w:dyaOrig="3056" w14:anchorId="1C67380C">
          <v:shape id="_x0000_i1037" type="#_x0000_t75" alt="" style="width:502.5pt;height:159.75pt" o:ole="">
            <v:imagedata r:id="rId34" o:title=""/>
          </v:shape>
          <o:OLEObject Type="Embed" ProgID="Excel.Sheet.8" ShapeID="_x0000_i1037" DrawAspect="Content" ObjectID="_1717427618" r:id="rId35"/>
        </w:object>
      </w:r>
    </w:p>
    <w:p w14:paraId="1009B3F7" w14:textId="61EBDC4C" w:rsidR="006E3BDA" w:rsidRDefault="006E3BDA" w:rsidP="006E3BDA">
      <w:pPr>
        <w:pStyle w:val="Textoindependiente"/>
        <w:ind w:firstLine="708"/>
        <w:rPr>
          <w:sz w:val="22"/>
          <w:szCs w:val="22"/>
        </w:rPr>
      </w:pPr>
      <w:r>
        <w:rPr>
          <w:sz w:val="22"/>
          <w:szCs w:val="22"/>
        </w:rPr>
        <w:t xml:space="preserve">Tal y como se comenta en la Nota 5 de esta memoria, la Sociedad ha cobrado en este ejercicio una subvención de capital por importe de 624.165 euros, subvención por Incentivos Regionales previstos en la Ley 50/1985, de 27 de diciembre, para la realización del proyecto de mejora del Hotel </w:t>
      </w:r>
      <w:proofErr w:type="spellStart"/>
      <w:r>
        <w:rPr>
          <w:sz w:val="22"/>
          <w:szCs w:val="22"/>
        </w:rPr>
        <w:t>Vallemar</w:t>
      </w:r>
      <w:proofErr w:type="spellEnd"/>
      <w:r>
        <w:rPr>
          <w:sz w:val="22"/>
          <w:szCs w:val="22"/>
        </w:rPr>
        <w:t xml:space="preserve">, obra ya finalizada y que duró desde abril de 2016 hasta agosto del mismo año. Esta subvención, concedida por la Subdirección General de Incentivos Regionales, del Ministerio de Hacienda y Administraciones Públicas del Gobierno de España, el 17 de diciembre de 2013, estaba sujeta a condiciones de mantenimiento de empleo, al cumplimiento de cierto nivel de autofinanciación y a la acreditación de una inversión de al menos 4.161.100 euros. Hasta el momento del cumplimiento de los citados requisitos, esta subvención tuvo el carácter de reintegrable, registrándose hasta entonces como pasivo. A la fecha del inicio de este ejercicio solo quedaba pendiente acreditar el mantenimiento de empleo, acreditación que se completó a 30 de junio de 2021, por lo que es a partir de esa fecha en la que se considera la subvención como no reintegrable, motivo por el cual se ha procedido a reclasificar a patrimonio neto y a pasivo por impuesto diferido los 624.165 concedidos. </w:t>
      </w:r>
    </w:p>
    <w:p w14:paraId="5AA0BBA9" w14:textId="77777777" w:rsidR="00397455" w:rsidRDefault="00397455" w:rsidP="00853FBE">
      <w:pPr>
        <w:pStyle w:val="Textoindependiente"/>
        <w:ind w:left="-600"/>
        <w:rPr>
          <w:sz w:val="22"/>
          <w:szCs w:val="22"/>
        </w:rPr>
      </w:pPr>
    </w:p>
    <w:p w14:paraId="232EAB9F" w14:textId="77777777" w:rsidR="00853FBE" w:rsidRDefault="00853FBE" w:rsidP="00853FBE">
      <w:pPr>
        <w:rPr>
          <w:b/>
          <w:sz w:val="22"/>
          <w:szCs w:val="22"/>
        </w:rPr>
      </w:pPr>
      <w:r>
        <w:rPr>
          <w:b/>
          <w:sz w:val="22"/>
          <w:szCs w:val="22"/>
        </w:rPr>
        <w:t>b) Activos financieros y pasivos financieros designados a valor razonable con cambios en la cuenta de pérdidas y ganancias</w:t>
      </w:r>
    </w:p>
    <w:p w14:paraId="507AAD35" w14:textId="77777777" w:rsidR="00853FBE" w:rsidRDefault="00853FBE" w:rsidP="00853FBE">
      <w:pPr>
        <w:pStyle w:val="Textoindependiente"/>
        <w:ind w:left="-480"/>
        <w:rPr>
          <w:b/>
        </w:rPr>
      </w:pPr>
      <w:r>
        <w:tab/>
      </w:r>
      <w:r>
        <w:tab/>
      </w:r>
      <w:r w:rsidRPr="0047409A">
        <w:rPr>
          <w:sz w:val="22"/>
          <w:szCs w:val="22"/>
        </w:rPr>
        <w:t>Sin contenido.</w:t>
      </w:r>
    </w:p>
    <w:p w14:paraId="0D5397CF" w14:textId="77777777" w:rsidR="00853FBE" w:rsidRDefault="00853FBE" w:rsidP="00853FBE">
      <w:pPr>
        <w:rPr>
          <w:b/>
          <w:sz w:val="22"/>
          <w:szCs w:val="22"/>
        </w:rPr>
      </w:pPr>
    </w:p>
    <w:p w14:paraId="5AF39399" w14:textId="77777777" w:rsidR="00853FBE" w:rsidRDefault="00853FBE" w:rsidP="00853FBE">
      <w:pPr>
        <w:rPr>
          <w:b/>
          <w:sz w:val="22"/>
          <w:szCs w:val="22"/>
        </w:rPr>
      </w:pPr>
      <w:r>
        <w:rPr>
          <w:b/>
          <w:sz w:val="22"/>
          <w:szCs w:val="22"/>
        </w:rPr>
        <w:t>c) Reclasificaciones</w:t>
      </w:r>
    </w:p>
    <w:p w14:paraId="4D7245A6" w14:textId="2A5A315E" w:rsidR="00853FBE" w:rsidRPr="0047409A" w:rsidRDefault="00853FBE" w:rsidP="006E3BDA">
      <w:pPr>
        <w:pStyle w:val="Textoindependiente"/>
        <w:ind w:firstLine="708"/>
        <w:rPr>
          <w:sz w:val="22"/>
          <w:szCs w:val="22"/>
        </w:rPr>
      </w:pPr>
      <w:r>
        <w:rPr>
          <w:sz w:val="22"/>
          <w:szCs w:val="22"/>
        </w:rPr>
        <w:t xml:space="preserve">No ha habido </w:t>
      </w:r>
      <w:r w:rsidRPr="0047409A">
        <w:rPr>
          <w:sz w:val="22"/>
          <w:szCs w:val="22"/>
        </w:rPr>
        <w:t xml:space="preserve">reclasificaciones </w:t>
      </w:r>
      <w:r>
        <w:rPr>
          <w:sz w:val="22"/>
          <w:szCs w:val="22"/>
        </w:rPr>
        <w:t xml:space="preserve">entre las </w:t>
      </w:r>
      <w:r w:rsidR="006E3BDA">
        <w:rPr>
          <w:sz w:val="22"/>
          <w:szCs w:val="22"/>
        </w:rPr>
        <w:t>distintas</w:t>
      </w:r>
      <w:r w:rsidR="006E3BDA" w:rsidRPr="0047409A">
        <w:rPr>
          <w:sz w:val="22"/>
          <w:szCs w:val="22"/>
        </w:rPr>
        <w:t xml:space="preserve"> categorías</w:t>
      </w:r>
      <w:r w:rsidRPr="0047409A">
        <w:rPr>
          <w:sz w:val="22"/>
          <w:szCs w:val="22"/>
        </w:rPr>
        <w:t xml:space="preserve"> de activos financieros</w:t>
      </w:r>
      <w:r>
        <w:rPr>
          <w:sz w:val="22"/>
          <w:szCs w:val="22"/>
        </w:rPr>
        <w:t xml:space="preserve">. </w:t>
      </w:r>
    </w:p>
    <w:p w14:paraId="33E6CED1" w14:textId="77777777" w:rsidR="00853FBE" w:rsidRDefault="00853FBE" w:rsidP="00853FBE">
      <w:pPr>
        <w:pStyle w:val="Textoindependiente"/>
        <w:ind w:left="-480"/>
        <w:rPr>
          <w:sz w:val="22"/>
          <w:szCs w:val="22"/>
        </w:rPr>
      </w:pPr>
    </w:p>
    <w:p w14:paraId="3898F5C7" w14:textId="77777777" w:rsidR="00853FBE" w:rsidRDefault="00853FBE" w:rsidP="00853FBE">
      <w:pPr>
        <w:rPr>
          <w:b/>
          <w:sz w:val="22"/>
          <w:szCs w:val="22"/>
        </w:rPr>
      </w:pPr>
      <w:r>
        <w:rPr>
          <w:b/>
          <w:sz w:val="22"/>
          <w:szCs w:val="22"/>
        </w:rPr>
        <w:t>d) Clasificación por vencimientos</w:t>
      </w:r>
    </w:p>
    <w:p w14:paraId="5F19A291" w14:textId="4DE98585" w:rsidR="00853FBE" w:rsidRDefault="00853FBE" w:rsidP="00853FBE">
      <w:pPr>
        <w:pStyle w:val="Textoindependiente"/>
        <w:ind w:firstLine="708"/>
        <w:rPr>
          <w:sz w:val="22"/>
          <w:szCs w:val="22"/>
        </w:rPr>
      </w:pPr>
      <w:r>
        <w:rPr>
          <w:sz w:val="22"/>
          <w:szCs w:val="22"/>
        </w:rPr>
        <w:t xml:space="preserve">Las clasificaciones por vencimiento de los activos financieros de la Sociedad de los importes que venzan en cada uno de los siguientes años al cierre del ejercicio y hasta su último </w:t>
      </w:r>
      <w:r w:rsidR="004567B6">
        <w:rPr>
          <w:sz w:val="22"/>
          <w:szCs w:val="22"/>
        </w:rPr>
        <w:t>vencimiento, se</w:t>
      </w:r>
      <w:r>
        <w:rPr>
          <w:sz w:val="22"/>
          <w:szCs w:val="22"/>
        </w:rPr>
        <w:t xml:space="preserve"> detallan en el siguiente cuadro:</w:t>
      </w:r>
    </w:p>
    <w:bookmarkStart w:id="71" w:name="_MON_1486159924"/>
    <w:bookmarkEnd w:id="71"/>
    <w:p w14:paraId="757E7541" w14:textId="7172F2FA" w:rsidR="00853FBE" w:rsidRDefault="006E3BDA" w:rsidP="00853FBE">
      <w:pPr>
        <w:pStyle w:val="Textoindependiente"/>
        <w:ind w:left="-480"/>
        <w:rPr>
          <w:sz w:val="22"/>
          <w:szCs w:val="22"/>
        </w:rPr>
      </w:pPr>
      <w:r w:rsidRPr="00EA0F71">
        <w:rPr>
          <w:rFonts w:ascii="Calibri" w:hAnsi="Calibri"/>
          <w:sz w:val="18"/>
          <w:szCs w:val="18"/>
        </w:rPr>
        <w:object w:dxaOrig="10791" w:dyaOrig="5035" w14:anchorId="36D51E1C">
          <v:shape id="_x0000_i1038" type="#_x0000_t75" style="width:446.25pt;height:208.5pt" o:ole="">
            <v:imagedata r:id="rId36" o:title=""/>
          </v:shape>
          <o:OLEObject Type="Embed" ProgID="Excel.Sheet.8" ShapeID="_x0000_i1038" DrawAspect="Content" ObjectID="_1717427619" r:id="rId37"/>
        </w:object>
      </w:r>
    </w:p>
    <w:p w14:paraId="579CB66D" w14:textId="110CBD78" w:rsidR="00853FBE" w:rsidRDefault="00853FBE" w:rsidP="00853FBE">
      <w:pPr>
        <w:pStyle w:val="Textoindependiente"/>
        <w:ind w:firstLine="708"/>
        <w:rPr>
          <w:sz w:val="22"/>
          <w:szCs w:val="22"/>
        </w:rPr>
      </w:pPr>
      <w:r>
        <w:rPr>
          <w:sz w:val="22"/>
          <w:szCs w:val="22"/>
        </w:rPr>
        <w:t xml:space="preserve">Las clasificaciones por vencimiento de los pasivos financieros de la Sociedad de los importes que venzan en cada uno de los siguientes años al cierre del ejercicio y hasta su </w:t>
      </w:r>
      <w:r w:rsidR="00FA31E4">
        <w:rPr>
          <w:sz w:val="22"/>
          <w:szCs w:val="22"/>
        </w:rPr>
        <w:t xml:space="preserve">último vencimiento, </w:t>
      </w:r>
      <w:r>
        <w:rPr>
          <w:sz w:val="22"/>
          <w:szCs w:val="22"/>
        </w:rPr>
        <w:t>se detallan en el siguiente cuadro:</w:t>
      </w:r>
    </w:p>
    <w:bookmarkStart w:id="72" w:name="_MON_1486159936"/>
    <w:bookmarkEnd w:id="72"/>
    <w:p w14:paraId="123CBACA" w14:textId="267355BB" w:rsidR="00853FBE" w:rsidRDefault="006E3BDA" w:rsidP="0006674C">
      <w:pPr>
        <w:pStyle w:val="Textoindependiente"/>
        <w:rPr>
          <w:sz w:val="22"/>
          <w:szCs w:val="22"/>
        </w:rPr>
      </w:pPr>
      <w:r w:rsidRPr="00EA0F71">
        <w:rPr>
          <w:rFonts w:ascii="Calibri" w:hAnsi="Calibri"/>
          <w:sz w:val="18"/>
          <w:szCs w:val="18"/>
        </w:rPr>
        <w:object w:dxaOrig="10156" w:dyaOrig="3945" w14:anchorId="4F1C2141">
          <v:shape id="_x0000_i1039" type="#_x0000_t75" style="width:482.25pt;height:194.25pt" o:ole="">
            <v:imagedata r:id="rId38" o:title=""/>
          </v:shape>
          <o:OLEObject Type="Embed" ProgID="Excel.Sheet.8" ShapeID="_x0000_i1039" DrawAspect="Content" ObjectID="_1717427620" r:id="rId39"/>
        </w:object>
      </w:r>
      <w:r w:rsidR="00853FBE">
        <w:rPr>
          <w:sz w:val="22"/>
          <w:szCs w:val="22"/>
        </w:rPr>
        <w:tab/>
      </w:r>
    </w:p>
    <w:p w14:paraId="4AECC550" w14:textId="77777777" w:rsidR="00853FBE" w:rsidRDefault="00853FBE" w:rsidP="00853FBE">
      <w:pPr>
        <w:rPr>
          <w:b/>
          <w:sz w:val="22"/>
          <w:szCs w:val="22"/>
        </w:rPr>
      </w:pPr>
      <w:r>
        <w:rPr>
          <w:b/>
          <w:sz w:val="22"/>
          <w:szCs w:val="22"/>
        </w:rPr>
        <w:t>e) Transferencias de activos financieros</w:t>
      </w:r>
    </w:p>
    <w:p w14:paraId="785A6F3E" w14:textId="77777777" w:rsidR="00853FBE" w:rsidRDefault="00853FBE" w:rsidP="00853FBE">
      <w:pPr>
        <w:pStyle w:val="Textoindependiente"/>
        <w:ind w:firstLine="708"/>
        <w:rPr>
          <w:sz w:val="22"/>
          <w:szCs w:val="22"/>
        </w:rPr>
      </w:pPr>
      <w:r>
        <w:rPr>
          <w:sz w:val="22"/>
          <w:szCs w:val="22"/>
        </w:rPr>
        <w:t xml:space="preserve">La Sociedad no ha realizado cesiones de activos financieros de tal forma que una parte de los mismos o su totalidad, no cumple las condiciones para la baja del balance, señaladas en el apartado 2.9 de la norma de registro y valoración relativa a instrumentos financieros. </w:t>
      </w:r>
    </w:p>
    <w:p w14:paraId="406A8DEB" w14:textId="77777777" w:rsidR="00853FBE" w:rsidRDefault="00853FBE" w:rsidP="00853FBE">
      <w:pPr>
        <w:pStyle w:val="Textoindependiente"/>
        <w:ind w:left="-480"/>
        <w:rPr>
          <w:sz w:val="22"/>
          <w:szCs w:val="22"/>
        </w:rPr>
      </w:pPr>
    </w:p>
    <w:p w14:paraId="52D33587" w14:textId="77777777" w:rsidR="00853FBE" w:rsidRDefault="00853FBE" w:rsidP="00853FBE">
      <w:pPr>
        <w:rPr>
          <w:b/>
          <w:sz w:val="22"/>
          <w:szCs w:val="22"/>
        </w:rPr>
      </w:pPr>
      <w:r>
        <w:rPr>
          <w:b/>
          <w:sz w:val="22"/>
          <w:szCs w:val="22"/>
        </w:rPr>
        <w:t>f) Activos cedidos y aceptados en garantía</w:t>
      </w:r>
    </w:p>
    <w:p w14:paraId="0BB96EFD" w14:textId="77777777" w:rsidR="00853FBE" w:rsidRDefault="00853FBE" w:rsidP="00853FBE">
      <w:pPr>
        <w:pStyle w:val="Textoindependiente"/>
        <w:ind w:firstLine="708"/>
        <w:rPr>
          <w:sz w:val="22"/>
          <w:szCs w:val="22"/>
        </w:rPr>
      </w:pPr>
      <w:r>
        <w:rPr>
          <w:sz w:val="22"/>
          <w:szCs w:val="22"/>
        </w:rPr>
        <w:t xml:space="preserve">La Sociedad no posee activos financieros entregados como garantía. </w:t>
      </w:r>
    </w:p>
    <w:p w14:paraId="63E38573" w14:textId="77777777" w:rsidR="00853FBE" w:rsidRDefault="00853FBE" w:rsidP="00853FBE">
      <w:pPr>
        <w:pStyle w:val="Textoindependiente"/>
        <w:ind w:firstLine="708"/>
        <w:rPr>
          <w:sz w:val="22"/>
          <w:szCs w:val="22"/>
        </w:rPr>
      </w:pPr>
      <w:r>
        <w:rPr>
          <w:sz w:val="22"/>
          <w:szCs w:val="22"/>
        </w:rPr>
        <w:t>La Sociedad no mantiene activos de terceros en garantía.</w:t>
      </w:r>
    </w:p>
    <w:p w14:paraId="2A8366B1" w14:textId="77777777" w:rsidR="00853FBE" w:rsidRDefault="00853FBE" w:rsidP="002B0106">
      <w:pPr>
        <w:rPr>
          <w:b/>
          <w:sz w:val="22"/>
          <w:szCs w:val="22"/>
        </w:rPr>
      </w:pPr>
    </w:p>
    <w:p w14:paraId="0E076CF2" w14:textId="77777777" w:rsidR="00853FBE" w:rsidRDefault="00853FBE" w:rsidP="002B0106">
      <w:pPr>
        <w:rPr>
          <w:b/>
          <w:sz w:val="22"/>
          <w:szCs w:val="22"/>
        </w:rPr>
      </w:pPr>
      <w:r>
        <w:rPr>
          <w:b/>
          <w:sz w:val="22"/>
          <w:szCs w:val="22"/>
        </w:rPr>
        <w:t>g) Correcciones por deterioro del valor originadas por el riesgo de crédito</w:t>
      </w:r>
    </w:p>
    <w:p w14:paraId="4DEB2ED2" w14:textId="77777777" w:rsidR="00853FBE" w:rsidRDefault="00853FBE" w:rsidP="00853FBE">
      <w:pPr>
        <w:pStyle w:val="Textoindependiente"/>
        <w:ind w:firstLine="708"/>
        <w:rPr>
          <w:sz w:val="22"/>
          <w:szCs w:val="22"/>
        </w:rPr>
      </w:pPr>
      <w:r>
        <w:rPr>
          <w:sz w:val="22"/>
          <w:szCs w:val="22"/>
        </w:rPr>
        <w:lastRenderedPageBreak/>
        <w:t>El análisis del movimiento de las cuentas correctoras representativas de las pérdidas por deterioro originadas por el riesgo de crédito es el siguiente:</w:t>
      </w:r>
    </w:p>
    <w:bookmarkStart w:id="73" w:name="_MON_1484985098"/>
    <w:bookmarkEnd w:id="73"/>
    <w:p w14:paraId="526FFCE3" w14:textId="497C7B33" w:rsidR="00853FBE" w:rsidRDefault="006E3BDA" w:rsidP="00853FBE">
      <w:pPr>
        <w:pStyle w:val="Textoindependiente"/>
        <w:ind w:left="-600"/>
        <w:rPr>
          <w:sz w:val="22"/>
          <w:szCs w:val="22"/>
        </w:rPr>
      </w:pPr>
      <w:r w:rsidRPr="00281FF1">
        <w:rPr>
          <w:rFonts w:ascii="Calibri" w:hAnsi="Calibri"/>
          <w:sz w:val="18"/>
          <w:szCs w:val="18"/>
        </w:rPr>
        <w:object w:dxaOrig="10815" w:dyaOrig="4534" w14:anchorId="5F2F1C43">
          <v:shape id="_x0000_i1040" type="#_x0000_t75" style="width:482.25pt;height:208.5pt" o:ole="">
            <v:imagedata r:id="rId40" o:title=""/>
          </v:shape>
          <o:OLEObject Type="Embed" ProgID="Excel.Sheet.8" ShapeID="_x0000_i1040" DrawAspect="Content" ObjectID="_1717427621" r:id="rId41"/>
        </w:object>
      </w:r>
    </w:p>
    <w:p w14:paraId="29D58AC6" w14:textId="22A13179" w:rsidR="00726EE6" w:rsidRDefault="00853FBE" w:rsidP="00853FBE">
      <w:pPr>
        <w:pStyle w:val="Textoindependiente"/>
        <w:rPr>
          <w:sz w:val="22"/>
          <w:szCs w:val="22"/>
        </w:rPr>
      </w:pPr>
      <w:r>
        <w:rPr>
          <w:sz w:val="22"/>
          <w:szCs w:val="22"/>
        </w:rPr>
        <w:tab/>
      </w:r>
      <w:r w:rsidR="00114B40">
        <w:rPr>
          <w:sz w:val="22"/>
          <w:szCs w:val="22"/>
        </w:rPr>
        <w:t>En el ejercicio corriente</w:t>
      </w:r>
      <w:r>
        <w:rPr>
          <w:sz w:val="22"/>
          <w:szCs w:val="22"/>
        </w:rPr>
        <w:t xml:space="preserve"> se ha reconocido deterioro de valor con carácter no reversible </w:t>
      </w:r>
      <w:r w:rsidR="00EE345C">
        <w:rPr>
          <w:sz w:val="22"/>
          <w:szCs w:val="22"/>
        </w:rPr>
        <w:t xml:space="preserve">por importe de 114.541,68 €. Dado que el importe de las reversiones por deterioro ha sido de 133.609,10 y que no se han practicado correcciones valorativas por deterioro, </w:t>
      </w:r>
      <w:r w:rsidR="00726EE6">
        <w:rPr>
          <w:sz w:val="22"/>
          <w:szCs w:val="22"/>
        </w:rPr>
        <w:t xml:space="preserve">el importe total </w:t>
      </w:r>
      <w:r w:rsidR="00EE345C">
        <w:rPr>
          <w:sz w:val="22"/>
          <w:szCs w:val="22"/>
        </w:rPr>
        <w:t xml:space="preserve">por este </w:t>
      </w:r>
      <w:proofErr w:type="spellStart"/>
      <w:r w:rsidR="00EE345C">
        <w:rPr>
          <w:sz w:val="22"/>
          <w:szCs w:val="22"/>
        </w:rPr>
        <w:t>cocepto</w:t>
      </w:r>
      <w:proofErr w:type="spellEnd"/>
      <w:r w:rsidR="00726EE6">
        <w:rPr>
          <w:sz w:val="22"/>
          <w:szCs w:val="22"/>
        </w:rPr>
        <w:t xml:space="preserve"> en la cuenta de pérdidas y ganancias fue de </w:t>
      </w:r>
      <w:r w:rsidR="00EE345C">
        <w:rPr>
          <w:sz w:val="22"/>
          <w:szCs w:val="22"/>
        </w:rPr>
        <w:t>19.067,42</w:t>
      </w:r>
      <w:r w:rsidR="00726EE6">
        <w:rPr>
          <w:sz w:val="22"/>
          <w:szCs w:val="22"/>
        </w:rPr>
        <w:t xml:space="preserve"> €</w:t>
      </w:r>
      <w:r w:rsidR="00EE345C">
        <w:rPr>
          <w:sz w:val="22"/>
          <w:szCs w:val="22"/>
        </w:rPr>
        <w:t xml:space="preserve"> (beneficio)</w:t>
      </w:r>
      <w:r w:rsidR="00726EE6">
        <w:rPr>
          <w:sz w:val="22"/>
          <w:szCs w:val="22"/>
        </w:rPr>
        <w:t>.</w:t>
      </w:r>
      <w:r w:rsidR="003D2159">
        <w:rPr>
          <w:sz w:val="22"/>
          <w:szCs w:val="22"/>
        </w:rPr>
        <w:t xml:space="preserve"> </w:t>
      </w:r>
    </w:p>
    <w:p w14:paraId="4B72074A" w14:textId="6E13BCA2" w:rsidR="00853FBE" w:rsidRDefault="00726EE6" w:rsidP="00726EE6">
      <w:pPr>
        <w:pStyle w:val="Textoindependiente"/>
        <w:ind w:firstLine="708"/>
        <w:rPr>
          <w:sz w:val="22"/>
          <w:szCs w:val="22"/>
        </w:rPr>
      </w:pPr>
      <w:r>
        <w:rPr>
          <w:sz w:val="22"/>
          <w:szCs w:val="22"/>
        </w:rPr>
        <w:t xml:space="preserve">En </w:t>
      </w:r>
      <w:r w:rsidR="000253BC">
        <w:rPr>
          <w:sz w:val="22"/>
          <w:szCs w:val="22"/>
        </w:rPr>
        <w:t>2020</w:t>
      </w:r>
      <w:r w:rsidR="003A1B44">
        <w:rPr>
          <w:sz w:val="22"/>
          <w:szCs w:val="22"/>
        </w:rPr>
        <w:t xml:space="preserve">, </w:t>
      </w:r>
      <w:r w:rsidR="00EE345C">
        <w:rPr>
          <w:sz w:val="22"/>
          <w:szCs w:val="22"/>
        </w:rPr>
        <w:t xml:space="preserve">no </w:t>
      </w:r>
      <w:r>
        <w:rPr>
          <w:sz w:val="22"/>
          <w:szCs w:val="22"/>
        </w:rPr>
        <w:t xml:space="preserve">se reconoció deterioro de valor con carácter no reversible </w:t>
      </w:r>
      <w:r w:rsidR="00853FBE">
        <w:rPr>
          <w:sz w:val="22"/>
          <w:szCs w:val="22"/>
        </w:rPr>
        <w:t xml:space="preserve">por lo que el total de </w:t>
      </w:r>
      <w:r w:rsidR="00A161F3">
        <w:rPr>
          <w:sz w:val="22"/>
          <w:szCs w:val="22"/>
        </w:rPr>
        <w:t xml:space="preserve">pérdidas por deterioro en la cuenta de pérdidas y ganancias </w:t>
      </w:r>
      <w:r>
        <w:rPr>
          <w:sz w:val="22"/>
          <w:szCs w:val="22"/>
        </w:rPr>
        <w:t xml:space="preserve">en el ejercicio anterior </w:t>
      </w:r>
      <w:r w:rsidR="00853FBE">
        <w:rPr>
          <w:sz w:val="22"/>
          <w:szCs w:val="22"/>
        </w:rPr>
        <w:t xml:space="preserve">fue de </w:t>
      </w:r>
      <w:r w:rsidR="00EE345C">
        <w:rPr>
          <w:sz w:val="22"/>
          <w:szCs w:val="22"/>
        </w:rPr>
        <w:t xml:space="preserve">76.776,53 </w:t>
      </w:r>
      <w:r w:rsidR="000361F3">
        <w:rPr>
          <w:sz w:val="22"/>
          <w:szCs w:val="22"/>
        </w:rPr>
        <w:t xml:space="preserve">€. </w:t>
      </w:r>
    </w:p>
    <w:p w14:paraId="708E8396" w14:textId="77777777" w:rsidR="00853FBE" w:rsidRPr="00C63814" w:rsidRDefault="00853FBE" w:rsidP="00853FBE">
      <w:pPr>
        <w:pStyle w:val="Textoindependiente"/>
        <w:rPr>
          <w:sz w:val="22"/>
          <w:szCs w:val="22"/>
        </w:rPr>
      </w:pPr>
    </w:p>
    <w:p w14:paraId="265B0C4D" w14:textId="77777777" w:rsidR="00853FBE" w:rsidRDefault="00853FBE" w:rsidP="00853FBE">
      <w:pPr>
        <w:rPr>
          <w:b/>
          <w:sz w:val="22"/>
          <w:szCs w:val="22"/>
        </w:rPr>
      </w:pPr>
      <w:r>
        <w:rPr>
          <w:b/>
          <w:sz w:val="22"/>
          <w:szCs w:val="22"/>
        </w:rPr>
        <w:t>h) Impago e incumplimiento de condiciones contractuales</w:t>
      </w:r>
    </w:p>
    <w:p w14:paraId="0DF3B4BA" w14:textId="0124113A" w:rsidR="00853FBE" w:rsidRDefault="00853FBE" w:rsidP="00853FBE">
      <w:pPr>
        <w:pStyle w:val="Textoindependiente"/>
        <w:ind w:left="-480"/>
        <w:rPr>
          <w:sz w:val="22"/>
          <w:szCs w:val="22"/>
        </w:rPr>
      </w:pPr>
      <w:r>
        <w:rPr>
          <w:sz w:val="22"/>
          <w:szCs w:val="22"/>
        </w:rPr>
        <w:tab/>
      </w:r>
      <w:r>
        <w:rPr>
          <w:sz w:val="22"/>
          <w:szCs w:val="22"/>
        </w:rPr>
        <w:tab/>
      </w:r>
      <w:r w:rsidR="005906B0">
        <w:rPr>
          <w:sz w:val="22"/>
          <w:szCs w:val="22"/>
        </w:rPr>
        <w:t>La Sociedad no mantiene préstamos pendientes de pago al cierre del ejercicio</w:t>
      </w:r>
      <w:r w:rsidR="0003675B">
        <w:rPr>
          <w:sz w:val="22"/>
          <w:szCs w:val="22"/>
        </w:rPr>
        <w:t xml:space="preserve">, ni tampoco </w:t>
      </w:r>
      <w:r w:rsidR="00F93755">
        <w:rPr>
          <w:sz w:val="22"/>
          <w:szCs w:val="22"/>
        </w:rPr>
        <w:t xml:space="preserve">los mantenía </w:t>
      </w:r>
      <w:r w:rsidR="0003675B">
        <w:rPr>
          <w:sz w:val="22"/>
          <w:szCs w:val="22"/>
        </w:rPr>
        <w:t>al cierre del ejercicio anterior</w:t>
      </w:r>
      <w:r w:rsidR="005906B0">
        <w:rPr>
          <w:sz w:val="22"/>
          <w:szCs w:val="22"/>
        </w:rPr>
        <w:t xml:space="preserve">. </w:t>
      </w:r>
    </w:p>
    <w:p w14:paraId="5968F360" w14:textId="77777777" w:rsidR="00853FBE" w:rsidRDefault="00853FBE" w:rsidP="00853FBE">
      <w:pPr>
        <w:pStyle w:val="Ttulo2"/>
        <w:ind w:left="0"/>
        <w:rPr>
          <w:bCs w:val="0"/>
          <w:iCs/>
          <w:sz w:val="22"/>
        </w:rPr>
      </w:pPr>
      <w:bookmarkStart w:id="74" w:name="_Toc106814602"/>
      <w:r>
        <w:rPr>
          <w:bCs w:val="0"/>
          <w:iCs/>
          <w:sz w:val="22"/>
        </w:rPr>
        <w:t xml:space="preserve">9.2 </w:t>
      </w:r>
      <w:r>
        <w:rPr>
          <w:bCs w:val="0"/>
          <w:iCs/>
          <w:sz w:val="22"/>
        </w:rPr>
        <w:tab/>
        <w:t>Información relacionada con la cuenta de pérdidas y ganancias y el patrimonio neto</w:t>
      </w:r>
      <w:bookmarkEnd w:id="74"/>
    </w:p>
    <w:p w14:paraId="2A4D7F5F" w14:textId="77777777" w:rsidR="00853FBE" w:rsidRDefault="00853FBE" w:rsidP="00853FBE">
      <w:pPr>
        <w:pStyle w:val="Textoindependiente"/>
        <w:ind w:firstLine="708"/>
        <w:rPr>
          <w:sz w:val="22"/>
          <w:szCs w:val="22"/>
        </w:rPr>
      </w:pPr>
      <w:r>
        <w:rPr>
          <w:sz w:val="22"/>
          <w:szCs w:val="22"/>
        </w:rPr>
        <w:t>El importe de las correcciones valorativas por deterioro para cada clase de activos financieros, así como el importe de cualquier ingreso financiero imputado en la cuenta de pérdidas y ganancias relacionado con tales activos, se detalla en el siguiente cuadro:</w:t>
      </w:r>
    </w:p>
    <w:bookmarkStart w:id="75" w:name="_MON_1486161644"/>
    <w:bookmarkEnd w:id="75"/>
    <w:p w14:paraId="7A1C1CA6" w14:textId="399A408A" w:rsidR="00853FBE" w:rsidRDefault="00EE345C" w:rsidP="00853FBE">
      <w:pPr>
        <w:pStyle w:val="Textoindependiente"/>
        <w:ind w:left="-480" w:firstLine="480"/>
        <w:rPr>
          <w:sz w:val="22"/>
          <w:szCs w:val="22"/>
        </w:rPr>
      </w:pPr>
      <w:r w:rsidRPr="00EA0F71">
        <w:rPr>
          <w:rFonts w:ascii="Calibri" w:hAnsi="Calibri"/>
          <w:sz w:val="18"/>
          <w:szCs w:val="18"/>
        </w:rPr>
        <w:object w:dxaOrig="9364" w:dyaOrig="2052" w14:anchorId="577AA9F6">
          <v:shape id="_x0000_i1041" type="#_x0000_t75" style="width:460.5pt;height:100.5pt" o:ole="">
            <v:imagedata r:id="rId42" o:title=""/>
          </v:shape>
          <o:OLEObject Type="Embed" ProgID="Excel.Sheet.8" ShapeID="_x0000_i1041" DrawAspect="Content" ObjectID="_1717427622" r:id="rId43"/>
        </w:object>
      </w:r>
    </w:p>
    <w:p w14:paraId="238414E7" w14:textId="77777777" w:rsidR="00853FBE" w:rsidRDefault="00853FBE" w:rsidP="00853FBE">
      <w:pPr>
        <w:pStyle w:val="Ttulo2"/>
        <w:ind w:left="0"/>
        <w:rPr>
          <w:bCs w:val="0"/>
          <w:iCs/>
          <w:sz w:val="22"/>
        </w:rPr>
      </w:pPr>
      <w:bookmarkStart w:id="76" w:name="_Toc106814603"/>
      <w:r>
        <w:rPr>
          <w:bCs w:val="0"/>
          <w:iCs/>
          <w:sz w:val="22"/>
        </w:rPr>
        <w:lastRenderedPageBreak/>
        <w:t xml:space="preserve">9.3 </w:t>
      </w:r>
      <w:r>
        <w:rPr>
          <w:bCs w:val="0"/>
          <w:iCs/>
          <w:sz w:val="22"/>
        </w:rPr>
        <w:tab/>
        <w:t>Información sobre la naturaleza y el nivel de riesgo procedente de instrumentos financieros</w:t>
      </w:r>
      <w:bookmarkEnd w:id="76"/>
    </w:p>
    <w:p w14:paraId="1D229A7E" w14:textId="243E6EBC" w:rsidR="00853FBE" w:rsidRPr="0062334B" w:rsidRDefault="00853FBE" w:rsidP="00853FBE">
      <w:pPr>
        <w:ind w:firstLine="567"/>
        <w:jc w:val="both"/>
        <w:rPr>
          <w:rFonts w:cs="Arial"/>
          <w:color w:val="000000"/>
          <w:sz w:val="22"/>
          <w:szCs w:val="22"/>
        </w:rPr>
      </w:pPr>
      <w:r w:rsidRPr="0062334B">
        <w:rPr>
          <w:rFonts w:cs="Arial"/>
          <w:color w:val="000000"/>
          <w:sz w:val="22"/>
          <w:szCs w:val="22"/>
        </w:rPr>
        <w:t xml:space="preserve">La gestión de los riesgos financieros de la Sociedad está centralizada en la Dirección Financiera, la cual tiene establecidos los mecanismos necesarios para controlar la exposición a las variaciones en los tipos de interés y tipos de cambio, así como a los riesgos de crédito y liquidez. A continuación se </w:t>
      </w:r>
      <w:r w:rsidR="00EE345C" w:rsidRPr="0062334B">
        <w:rPr>
          <w:rFonts w:cs="Arial"/>
          <w:color w:val="000000"/>
          <w:sz w:val="22"/>
          <w:szCs w:val="22"/>
        </w:rPr>
        <w:t>indican los</w:t>
      </w:r>
      <w:r w:rsidRPr="0062334B">
        <w:rPr>
          <w:rFonts w:cs="Arial"/>
          <w:color w:val="000000"/>
          <w:sz w:val="22"/>
          <w:szCs w:val="22"/>
        </w:rPr>
        <w:t xml:space="preserve"> principales riesgos financieros que impactan a la Sociedad:</w:t>
      </w:r>
    </w:p>
    <w:p w14:paraId="538D8C91" w14:textId="77777777" w:rsidR="00853FBE" w:rsidRPr="0062334B" w:rsidRDefault="00853FBE" w:rsidP="00853FBE">
      <w:pPr>
        <w:jc w:val="both"/>
        <w:rPr>
          <w:rFonts w:cs="Arial"/>
          <w:color w:val="000000"/>
          <w:sz w:val="22"/>
          <w:szCs w:val="22"/>
        </w:rPr>
      </w:pPr>
    </w:p>
    <w:p w14:paraId="78568ABD" w14:textId="77777777" w:rsidR="00853FBE" w:rsidRPr="0062334B" w:rsidRDefault="00853FBE" w:rsidP="00853FBE">
      <w:pPr>
        <w:jc w:val="both"/>
        <w:rPr>
          <w:rFonts w:cs="Arial"/>
          <w:color w:val="000000"/>
          <w:sz w:val="22"/>
          <w:szCs w:val="22"/>
        </w:rPr>
      </w:pPr>
      <w:r w:rsidRPr="0062334B">
        <w:rPr>
          <w:rFonts w:cs="Arial"/>
          <w:color w:val="000000"/>
          <w:sz w:val="22"/>
          <w:szCs w:val="22"/>
        </w:rPr>
        <w:t>a) Riesgo de crédito:</w:t>
      </w:r>
    </w:p>
    <w:p w14:paraId="2B155C5D" w14:textId="77777777" w:rsidR="00853FBE" w:rsidRPr="0062334B" w:rsidRDefault="00853FBE" w:rsidP="00853FBE">
      <w:pPr>
        <w:ind w:firstLine="708"/>
        <w:jc w:val="both"/>
        <w:rPr>
          <w:rFonts w:cs="Arial"/>
          <w:color w:val="000000"/>
          <w:sz w:val="22"/>
          <w:szCs w:val="22"/>
        </w:rPr>
      </w:pPr>
      <w:r w:rsidRPr="0062334B">
        <w:rPr>
          <w:rFonts w:cs="Arial"/>
          <w:color w:val="000000"/>
          <w:sz w:val="22"/>
          <w:szCs w:val="22"/>
        </w:rPr>
        <w:t>Con carácter general la Sociedad mantiene su tesorería y activos líquidos equivalentes en entidades financieras de elevado nivel crediticio. Adici</w:t>
      </w:r>
      <w:r>
        <w:rPr>
          <w:rFonts w:cs="Arial"/>
          <w:color w:val="000000"/>
          <w:sz w:val="22"/>
          <w:szCs w:val="22"/>
        </w:rPr>
        <w:t xml:space="preserve">onalmente, hay que indicar que </w:t>
      </w:r>
      <w:r w:rsidRPr="0062334B">
        <w:rPr>
          <w:rFonts w:cs="Arial"/>
          <w:color w:val="000000"/>
          <w:sz w:val="22"/>
          <w:szCs w:val="22"/>
        </w:rPr>
        <w:t>no existe una concentración significativa del riesgo de crédito con terceros.</w:t>
      </w:r>
    </w:p>
    <w:p w14:paraId="6D851E3E" w14:textId="77777777" w:rsidR="00853FBE" w:rsidRPr="0062334B" w:rsidRDefault="00853FBE" w:rsidP="00853FBE">
      <w:pPr>
        <w:jc w:val="both"/>
        <w:rPr>
          <w:rFonts w:cs="Arial"/>
          <w:color w:val="000000"/>
          <w:sz w:val="22"/>
          <w:szCs w:val="22"/>
        </w:rPr>
      </w:pPr>
    </w:p>
    <w:p w14:paraId="26E63526" w14:textId="77777777" w:rsidR="00853FBE" w:rsidRPr="0062334B" w:rsidRDefault="00853FBE" w:rsidP="00853FBE">
      <w:pPr>
        <w:jc w:val="both"/>
        <w:rPr>
          <w:rFonts w:cs="Arial"/>
          <w:color w:val="000000"/>
          <w:sz w:val="22"/>
          <w:szCs w:val="22"/>
        </w:rPr>
      </w:pPr>
      <w:r w:rsidRPr="0062334B">
        <w:rPr>
          <w:rFonts w:cs="Arial"/>
          <w:color w:val="000000"/>
          <w:sz w:val="22"/>
          <w:szCs w:val="22"/>
        </w:rPr>
        <w:t>b) Riesgo de liquidez:</w:t>
      </w:r>
    </w:p>
    <w:p w14:paraId="6891B9C2" w14:textId="1428A706" w:rsidR="00853FBE" w:rsidRPr="0062334B" w:rsidRDefault="00853FBE" w:rsidP="00853FBE">
      <w:pPr>
        <w:ind w:firstLine="708"/>
        <w:jc w:val="both"/>
        <w:rPr>
          <w:rFonts w:cs="Arial"/>
          <w:color w:val="000000"/>
          <w:sz w:val="22"/>
          <w:szCs w:val="22"/>
        </w:rPr>
      </w:pPr>
      <w:r w:rsidRPr="0062334B">
        <w:rPr>
          <w:rFonts w:cs="Arial"/>
          <w:color w:val="000000"/>
          <w:sz w:val="22"/>
          <w:szCs w:val="22"/>
        </w:rPr>
        <w:t>Con el fin de asegurar la liquidez y poder atender todos los compromisos de pago que se derivan de su actividad, la Sociedad dispone de la tesorería que muestra su balance</w:t>
      </w:r>
      <w:r>
        <w:rPr>
          <w:rFonts w:cs="Arial"/>
          <w:color w:val="000000"/>
          <w:sz w:val="22"/>
          <w:szCs w:val="22"/>
        </w:rPr>
        <w:t xml:space="preserve"> y depósitos en entidades financieras a corto </w:t>
      </w:r>
      <w:r w:rsidR="00EE345C">
        <w:rPr>
          <w:rFonts w:cs="Arial"/>
          <w:color w:val="000000"/>
          <w:sz w:val="22"/>
          <w:szCs w:val="22"/>
        </w:rPr>
        <w:t>plazo.</w:t>
      </w:r>
    </w:p>
    <w:p w14:paraId="39904834" w14:textId="77777777" w:rsidR="00853FBE" w:rsidRPr="0062334B" w:rsidRDefault="00853FBE" w:rsidP="00853FBE">
      <w:pPr>
        <w:jc w:val="both"/>
        <w:rPr>
          <w:rFonts w:cs="Arial"/>
          <w:color w:val="000000"/>
          <w:sz w:val="22"/>
          <w:szCs w:val="22"/>
        </w:rPr>
      </w:pPr>
    </w:p>
    <w:p w14:paraId="6F2ECEFA" w14:textId="77777777" w:rsidR="00853FBE" w:rsidRPr="0062334B" w:rsidRDefault="00853FBE" w:rsidP="00853FBE">
      <w:pPr>
        <w:jc w:val="both"/>
        <w:rPr>
          <w:rFonts w:cs="Arial"/>
          <w:color w:val="000000"/>
          <w:sz w:val="22"/>
          <w:szCs w:val="22"/>
        </w:rPr>
      </w:pPr>
      <w:r w:rsidRPr="0062334B">
        <w:rPr>
          <w:rFonts w:cs="Arial"/>
          <w:color w:val="000000"/>
          <w:sz w:val="22"/>
          <w:szCs w:val="22"/>
        </w:rPr>
        <w:t>c) Riesgo de mercado (incluye tipo de interés, tipo de cambio y otros riesgos de precio):</w:t>
      </w:r>
    </w:p>
    <w:p w14:paraId="71C72FB9" w14:textId="77777777" w:rsidR="00853FBE" w:rsidRPr="0062334B" w:rsidRDefault="00853FBE" w:rsidP="00853FBE">
      <w:pPr>
        <w:ind w:firstLine="708"/>
        <w:jc w:val="both"/>
        <w:rPr>
          <w:rFonts w:cs="Arial"/>
          <w:color w:val="000000"/>
          <w:sz w:val="22"/>
          <w:szCs w:val="22"/>
        </w:rPr>
      </w:pPr>
      <w:r>
        <w:rPr>
          <w:rFonts w:cs="Arial"/>
          <w:color w:val="000000"/>
          <w:sz w:val="22"/>
          <w:szCs w:val="22"/>
        </w:rPr>
        <w:t xml:space="preserve">La Sociedad tiene un bajo riesgo de tipo de interés al seguir una política de invertir los excedentes de tesorería en renta fija y tener unos niveles de deuda financiera poco significativos. </w:t>
      </w:r>
    </w:p>
    <w:p w14:paraId="017EC36C" w14:textId="77777777" w:rsidR="00853FBE" w:rsidRPr="0062334B" w:rsidRDefault="00853FBE" w:rsidP="00853FBE">
      <w:pPr>
        <w:ind w:firstLine="567"/>
        <w:jc w:val="both"/>
        <w:rPr>
          <w:rFonts w:cs="Arial"/>
          <w:color w:val="000000"/>
          <w:sz w:val="22"/>
          <w:szCs w:val="22"/>
        </w:rPr>
      </w:pPr>
      <w:r>
        <w:rPr>
          <w:rFonts w:cs="Arial"/>
          <w:color w:val="000000"/>
          <w:sz w:val="22"/>
          <w:szCs w:val="22"/>
        </w:rPr>
        <w:t xml:space="preserve">Asimismo, la Sociedad realiza todas sus operaciones en euros, por lo que no está a expensas del riesgo de tipo de cambio más allá de la evolución de la moneda europea en relación con las monedas de los países de sus clientes. </w:t>
      </w:r>
    </w:p>
    <w:p w14:paraId="771BB968" w14:textId="77777777" w:rsidR="00853FBE" w:rsidRDefault="00853FBE" w:rsidP="00853FBE">
      <w:pPr>
        <w:pStyle w:val="Ttulo2"/>
        <w:ind w:left="0"/>
        <w:rPr>
          <w:bCs w:val="0"/>
          <w:iCs/>
          <w:sz w:val="22"/>
        </w:rPr>
      </w:pPr>
      <w:bookmarkStart w:id="77" w:name="_Toc106814604"/>
      <w:r>
        <w:rPr>
          <w:bCs w:val="0"/>
          <w:iCs/>
          <w:sz w:val="22"/>
        </w:rPr>
        <w:t xml:space="preserve">9.4 </w:t>
      </w:r>
      <w:r>
        <w:rPr>
          <w:bCs w:val="0"/>
          <w:iCs/>
          <w:sz w:val="22"/>
        </w:rPr>
        <w:tab/>
        <w:t>Fondos propios</w:t>
      </w:r>
      <w:bookmarkEnd w:id="77"/>
    </w:p>
    <w:p w14:paraId="7DA4CD4E" w14:textId="0F168F5F" w:rsidR="00853FBE" w:rsidRDefault="00853FBE" w:rsidP="00853FBE">
      <w:pPr>
        <w:pStyle w:val="Textoindependiente"/>
        <w:ind w:firstLine="480"/>
        <w:rPr>
          <w:sz w:val="22"/>
          <w:szCs w:val="22"/>
        </w:rPr>
      </w:pPr>
      <w:r>
        <w:rPr>
          <w:sz w:val="22"/>
          <w:szCs w:val="22"/>
        </w:rPr>
        <w:t xml:space="preserve">El capital social asciende a </w:t>
      </w:r>
      <w:r w:rsidR="00F833EE">
        <w:rPr>
          <w:sz w:val="22"/>
          <w:szCs w:val="22"/>
        </w:rPr>
        <w:t>15.134.700</w:t>
      </w:r>
      <w:r>
        <w:rPr>
          <w:sz w:val="22"/>
          <w:szCs w:val="22"/>
        </w:rPr>
        <w:t xml:space="preserve"> euros nominales y tiene la composición siguiente: </w:t>
      </w:r>
    </w:p>
    <w:bookmarkStart w:id="78" w:name="_MON_1592059395"/>
    <w:bookmarkEnd w:id="78"/>
    <w:p w14:paraId="36651EC0" w14:textId="68A25D4D" w:rsidR="00853FBE" w:rsidRDefault="00EE345C" w:rsidP="00853FBE">
      <w:pPr>
        <w:pStyle w:val="Textoindependiente"/>
        <w:ind w:left="480"/>
        <w:rPr>
          <w:sz w:val="22"/>
          <w:szCs w:val="22"/>
        </w:rPr>
      </w:pPr>
      <w:r w:rsidRPr="00EA0F71">
        <w:rPr>
          <w:rFonts w:ascii="Calibri" w:hAnsi="Calibri"/>
          <w:sz w:val="18"/>
          <w:szCs w:val="18"/>
        </w:rPr>
        <w:object w:dxaOrig="8334" w:dyaOrig="1007" w14:anchorId="58870266">
          <v:shape id="_x0000_i1042" type="#_x0000_t75" style="width:390.75pt;height:50.25pt" o:ole="">
            <v:imagedata r:id="rId44" o:title=""/>
          </v:shape>
          <o:OLEObject Type="Embed" ProgID="Excel.Sheet.8" ShapeID="_x0000_i1042" DrawAspect="Content" ObjectID="_1717427623" r:id="rId45"/>
        </w:object>
      </w:r>
    </w:p>
    <w:p w14:paraId="3A423348" w14:textId="0DB5B13F" w:rsidR="004C1AA7" w:rsidRPr="004C1AA7" w:rsidRDefault="004567B6" w:rsidP="004C1AA7">
      <w:pPr>
        <w:pStyle w:val="Textoindependiente"/>
        <w:ind w:firstLine="480"/>
        <w:rPr>
          <w:sz w:val="22"/>
          <w:szCs w:val="22"/>
          <w:lang w:val="es-ES_tradnl"/>
        </w:rPr>
      </w:pPr>
      <w:r w:rsidRPr="00C3205B">
        <w:rPr>
          <w:sz w:val="22"/>
          <w:szCs w:val="22"/>
        </w:rPr>
        <w:t>El pasado 9 de marzo de 2021 se aprobó en Junta General Universal aumentar el capital social en 397.425 € mediante la emisión de 757 acciones nuevas, de 525 € de valor nominal cada una de ellas, representadas por títulos nominativos, de igual valor nominal y contenido de derechos que las anteriores. Las nuevas acciones se emitieron con una prima de emisión global de 602.575 €, equivalente a 796,004 € por acción. Todas las acciones han sido suscritas por el accionista minoritario, renunciando tanto los demás accionistas como la propia sociedad a su derecho de suscripción preferente</w:t>
      </w:r>
      <w:r w:rsidR="00EE345C">
        <w:rPr>
          <w:sz w:val="22"/>
          <w:szCs w:val="22"/>
        </w:rPr>
        <w:t xml:space="preserve">. </w:t>
      </w:r>
      <w:r w:rsidR="004C1AA7" w:rsidRPr="004C1AA7">
        <w:rPr>
          <w:sz w:val="22"/>
          <w:szCs w:val="22"/>
          <w:lang w:val="es-ES_tradnl"/>
        </w:rPr>
        <w:t>La junta de accionistas no ha limitado a los administradores el capital en circulación</w:t>
      </w:r>
      <w:r w:rsidR="004C1AA7">
        <w:rPr>
          <w:sz w:val="22"/>
          <w:szCs w:val="22"/>
          <w:lang w:val="es-ES_tradnl"/>
        </w:rPr>
        <w:t>.</w:t>
      </w:r>
    </w:p>
    <w:p w14:paraId="36B227FD" w14:textId="77777777" w:rsidR="00853FBE" w:rsidRDefault="00853FBE" w:rsidP="00853FBE">
      <w:pPr>
        <w:pStyle w:val="Textoindependiente"/>
        <w:ind w:left="480"/>
        <w:rPr>
          <w:sz w:val="22"/>
          <w:szCs w:val="22"/>
        </w:rPr>
      </w:pPr>
      <w:r>
        <w:rPr>
          <w:sz w:val="22"/>
          <w:szCs w:val="22"/>
        </w:rPr>
        <w:t>La empresa no dispone de acciones propias.</w:t>
      </w:r>
    </w:p>
    <w:p w14:paraId="6BB4E96D" w14:textId="77777777" w:rsidR="00853FBE" w:rsidRDefault="00853FBE" w:rsidP="00853FBE">
      <w:pPr>
        <w:pStyle w:val="Textoindependiente"/>
        <w:ind w:firstLine="480"/>
        <w:rPr>
          <w:sz w:val="22"/>
          <w:szCs w:val="22"/>
        </w:rPr>
      </w:pPr>
      <w:r>
        <w:rPr>
          <w:sz w:val="22"/>
          <w:szCs w:val="22"/>
        </w:rPr>
        <w:lastRenderedPageBreak/>
        <w:t>No hay acciones de la Sociedad admitidas a cotización en ningún mercado de valores.</w:t>
      </w:r>
    </w:p>
    <w:p w14:paraId="166BF69B" w14:textId="77777777" w:rsidR="006C5353" w:rsidRDefault="00853FBE" w:rsidP="00853FBE">
      <w:pPr>
        <w:pStyle w:val="Textoindependiente"/>
        <w:ind w:firstLine="480"/>
        <w:rPr>
          <w:sz w:val="22"/>
          <w:szCs w:val="22"/>
        </w:rPr>
      </w:pPr>
      <w:r>
        <w:rPr>
          <w:sz w:val="22"/>
          <w:szCs w:val="22"/>
        </w:rPr>
        <w:t>No existen subvenciones, donaciones o legados otorgados por los socios.</w:t>
      </w:r>
    </w:p>
    <w:p w14:paraId="46E06376" w14:textId="77777777" w:rsidR="006C5353" w:rsidRPr="006C5353" w:rsidRDefault="006C5353" w:rsidP="00853FBE">
      <w:pPr>
        <w:pStyle w:val="Textoindependiente"/>
        <w:ind w:firstLine="480"/>
        <w:rPr>
          <w:sz w:val="22"/>
          <w:szCs w:val="22"/>
        </w:rPr>
      </w:pPr>
      <w:r w:rsidRPr="006C5353">
        <w:rPr>
          <w:sz w:val="22"/>
          <w:szCs w:val="22"/>
        </w:rPr>
        <w:t>La sociedad no se ha acogido a la actualización de balances prevista en la Ley 16/2012, de 27 de diciembre, por la que se adoptan diversas medidas tributarias dirigidas a la consolidación de las finanzas públicas y al impulso de la actividad económica.</w:t>
      </w:r>
    </w:p>
    <w:p w14:paraId="295486D3" w14:textId="77777777" w:rsidR="00853FBE" w:rsidRDefault="00853FBE" w:rsidP="00853FBE">
      <w:pPr>
        <w:pStyle w:val="Textoindependiente"/>
        <w:ind w:firstLine="480"/>
        <w:rPr>
          <w:sz w:val="22"/>
          <w:szCs w:val="22"/>
        </w:rPr>
      </w:pPr>
      <w:r>
        <w:rPr>
          <w:sz w:val="22"/>
          <w:szCs w:val="22"/>
        </w:rPr>
        <w:t>Existen las siguientes circunstancias que restringen la disponibilidad de las reservas:</w:t>
      </w:r>
    </w:p>
    <w:p w14:paraId="6A31BD4A" w14:textId="77777777" w:rsidR="00F833EE" w:rsidRPr="00F833EE" w:rsidRDefault="00853FBE" w:rsidP="00F833EE">
      <w:pPr>
        <w:pStyle w:val="Textoindependiente"/>
        <w:rPr>
          <w:sz w:val="22"/>
          <w:szCs w:val="22"/>
        </w:rPr>
      </w:pPr>
      <w:r>
        <w:rPr>
          <w:sz w:val="22"/>
          <w:szCs w:val="22"/>
        </w:rPr>
        <w:tab/>
      </w:r>
      <w:r w:rsidR="00F833EE" w:rsidRPr="00F833EE">
        <w:rPr>
          <w:sz w:val="22"/>
          <w:szCs w:val="22"/>
        </w:rPr>
        <w:t>Reserva Legal</w:t>
      </w:r>
    </w:p>
    <w:p w14:paraId="1137B36D" w14:textId="77777777" w:rsidR="00F833EE" w:rsidRDefault="00F833EE" w:rsidP="00F833EE">
      <w:pPr>
        <w:pStyle w:val="Textoindependiente"/>
        <w:ind w:firstLine="567"/>
        <w:rPr>
          <w:sz w:val="22"/>
          <w:szCs w:val="22"/>
        </w:rPr>
      </w:pPr>
      <w:r w:rsidRPr="00F833EE">
        <w:rPr>
          <w:sz w:val="22"/>
          <w:szCs w:val="22"/>
        </w:rPr>
        <w:t>El 10% de los Beneficios debe destinarse a la constitución de la Reserva Legal, hasta que dicha reserva alcance el 20% del Capital Social. El único destino posible de la Reserva Legal es la compensación de pérdidas o la ampliación de Capital por la parte que exceda del 10% del Capital ya aumentado.</w:t>
      </w:r>
    </w:p>
    <w:p w14:paraId="7EBCE168" w14:textId="77777777" w:rsidR="00F833EE" w:rsidRPr="00F833EE" w:rsidRDefault="00F833EE" w:rsidP="00F833EE">
      <w:pPr>
        <w:pStyle w:val="Textoindependiente"/>
        <w:ind w:firstLine="567"/>
        <w:rPr>
          <w:sz w:val="22"/>
          <w:szCs w:val="22"/>
        </w:rPr>
      </w:pPr>
    </w:p>
    <w:p w14:paraId="60848775" w14:textId="77777777" w:rsidR="00853FBE" w:rsidRDefault="00853FBE" w:rsidP="00853FBE">
      <w:pPr>
        <w:pStyle w:val="Textoindependiente"/>
        <w:ind w:left="567"/>
        <w:rPr>
          <w:sz w:val="22"/>
          <w:szCs w:val="22"/>
          <w:u w:val="single"/>
        </w:rPr>
      </w:pPr>
      <w:r>
        <w:rPr>
          <w:sz w:val="22"/>
          <w:szCs w:val="22"/>
          <w:u w:val="single"/>
        </w:rPr>
        <w:t>Prima de emisión</w:t>
      </w:r>
    </w:p>
    <w:p w14:paraId="574D76EF" w14:textId="77777777" w:rsidR="00853FBE" w:rsidRDefault="00853FBE" w:rsidP="00853FBE">
      <w:pPr>
        <w:pStyle w:val="Textoindependiente"/>
        <w:ind w:left="567"/>
        <w:rPr>
          <w:sz w:val="22"/>
          <w:szCs w:val="22"/>
        </w:rPr>
      </w:pPr>
      <w:r>
        <w:rPr>
          <w:sz w:val="22"/>
          <w:szCs w:val="22"/>
        </w:rPr>
        <w:t>La prima de emisión es de libre distribución.</w:t>
      </w:r>
    </w:p>
    <w:p w14:paraId="74F4AAC5" w14:textId="77777777" w:rsidR="00853FBE" w:rsidRDefault="00853FBE" w:rsidP="00853FBE">
      <w:pPr>
        <w:pStyle w:val="Ttulo1"/>
        <w:spacing w:before="360" w:after="120"/>
        <w:ind w:left="567" w:hanging="567"/>
        <w:jc w:val="both"/>
        <w:rPr>
          <w:sz w:val="22"/>
          <w:szCs w:val="22"/>
        </w:rPr>
      </w:pPr>
      <w:bookmarkStart w:id="79" w:name="_Toc106814605"/>
      <w:r>
        <w:rPr>
          <w:sz w:val="22"/>
          <w:szCs w:val="22"/>
        </w:rPr>
        <w:t xml:space="preserve">10. </w:t>
      </w:r>
      <w:r>
        <w:rPr>
          <w:sz w:val="22"/>
          <w:szCs w:val="22"/>
        </w:rPr>
        <w:tab/>
        <w:t>Existencias</w:t>
      </w:r>
      <w:bookmarkEnd w:id="79"/>
    </w:p>
    <w:p w14:paraId="253439E4" w14:textId="5D5E14CE" w:rsidR="004C1AA7" w:rsidRPr="004C1AA7" w:rsidRDefault="00417307" w:rsidP="004C1AA7">
      <w:pPr>
        <w:pStyle w:val="Textoindependiente"/>
        <w:ind w:firstLine="480"/>
        <w:rPr>
          <w:sz w:val="22"/>
          <w:szCs w:val="22"/>
        </w:rPr>
      </w:pPr>
      <w:r w:rsidRPr="00EA7902">
        <w:rPr>
          <w:sz w:val="22"/>
          <w:szCs w:val="22"/>
        </w:rPr>
        <w:t xml:space="preserve"> </w:t>
      </w:r>
      <w:r w:rsidR="004C1AA7" w:rsidRPr="004C1AA7">
        <w:rPr>
          <w:sz w:val="22"/>
          <w:szCs w:val="22"/>
        </w:rPr>
        <w:t>La composición de las existencias es la siguiente:</w:t>
      </w:r>
    </w:p>
    <w:bookmarkStart w:id="80" w:name="_MON_1592059540"/>
    <w:bookmarkEnd w:id="80"/>
    <w:p w14:paraId="5F9DB53F" w14:textId="622D9EA0" w:rsidR="004C1AA7" w:rsidRPr="004C1AA7" w:rsidRDefault="00EE345C" w:rsidP="004C1AA7">
      <w:pPr>
        <w:pStyle w:val="Textoindependiente"/>
        <w:ind w:firstLine="480"/>
        <w:rPr>
          <w:sz w:val="22"/>
          <w:szCs w:val="22"/>
        </w:rPr>
      </w:pPr>
      <w:r w:rsidRPr="004C1AA7">
        <w:rPr>
          <w:sz w:val="22"/>
          <w:szCs w:val="22"/>
        </w:rPr>
        <w:object w:dxaOrig="6313" w:dyaOrig="1673" w14:anchorId="3638341E">
          <v:shape id="_x0000_i1043" type="#_x0000_t75" style="width:389.25pt;height:100.5pt" o:ole="">
            <v:imagedata r:id="rId46" o:title=""/>
          </v:shape>
          <o:OLEObject Type="Embed" ProgID="Excel.Sheet.8" ShapeID="_x0000_i1043" DrawAspect="Content" ObjectID="_1717427624" r:id="rId47"/>
        </w:object>
      </w:r>
    </w:p>
    <w:p w14:paraId="7DEE931B" w14:textId="104F952F" w:rsidR="00417307" w:rsidRPr="001777B2" w:rsidRDefault="00417307" w:rsidP="00417307">
      <w:pPr>
        <w:pStyle w:val="Textoindependiente"/>
        <w:ind w:firstLine="480"/>
        <w:rPr>
          <w:sz w:val="22"/>
          <w:szCs w:val="22"/>
          <w:lang w:val="es-ES_tradnl"/>
        </w:rPr>
      </w:pPr>
      <w:r w:rsidRPr="001777B2">
        <w:rPr>
          <w:sz w:val="22"/>
          <w:szCs w:val="22"/>
          <w:lang w:val="es-ES_tradnl"/>
        </w:rPr>
        <w:t>No existe imputación de costes indirectos.</w:t>
      </w:r>
    </w:p>
    <w:p w14:paraId="27C80CDF" w14:textId="309807D8" w:rsidR="00417307" w:rsidRPr="001777B2" w:rsidRDefault="00417307" w:rsidP="00417307">
      <w:pPr>
        <w:pStyle w:val="Textoindependiente"/>
        <w:ind w:firstLine="480"/>
        <w:rPr>
          <w:sz w:val="22"/>
          <w:szCs w:val="22"/>
          <w:lang w:val="es-ES_tradnl"/>
        </w:rPr>
      </w:pPr>
      <w:r w:rsidRPr="001777B2">
        <w:rPr>
          <w:sz w:val="22"/>
          <w:szCs w:val="22"/>
          <w:lang w:val="es-ES_tradnl"/>
        </w:rPr>
        <w:t> No existe capitalización de gastos financieros.</w:t>
      </w:r>
    </w:p>
    <w:p w14:paraId="3A2CBAEE" w14:textId="592CD11E" w:rsidR="00417307" w:rsidRPr="001777B2" w:rsidRDefault="00417307" w:rsidP="00417307">
      <w:pPr>
        <w:pStyle w:val="Textoindependiente"/>
        <w:ind w:firstLine="480"/>
        <w:rPr>
          <w:sz w:val="22"/>
          <w:szCs w:val="22"/>
          <w:lang w:val="es-ES_tradnl"/>
        </w:rPr>
      </w:pPr>
      <w:r w:rsidRPr="001777B2">
        <w:rPr>
          <w:sz w:val="22"/>
          <w:szCs w:val="22"/>
          <w:lang w:val="es-ES_tradnl"/>
        </w:rPr>
        <w:t>El método para la valoración de las existencias ha sido el precio medio ponderado, empleando dicho método en este ejercicio y en el anterior.</w:t>
      </w:r>
    </w:p>
    <w:p w14:paraId="242B62E7" w14:textId="115E8328" w:rsidR="00417307" w:rsidRPr="001777B2" w:rsidRDefault="00417307" w:rsidP="00417307">
      <w:pPr>
        <w:pStyle w:val="Textoindependiente"/>
        <w:ind w:firstLine="480"/>
        <w:rPr>
          <w:sz w:val="22"/>
          <w:szCs w:val="22"/>
          <w:lang w:val="es-ES_tradnl"/>
        </w:rPr>
      </w:pPr>
      <w:r w:rsidRPr="001777B2">
        <w:rPr>
          <w:sz w:val="22"/>
          <w:szCs w:val="22"/>
          <w:lang w:val="es-ES_tradnl"/>
        </w:rPr>
        <w:t>No existen devoluciones de ventas ni de compras con una influencia significativa en la valoración de las existencias.</w:t>
      </w:r>
    </w:p>
    <w:p w14:paraId="5DC8043D" w14:textId="5FF5CEF7" w:rsidR="00417307" w:rsidRPr="001777B2" w:rsidRDefault="00417307" w:rsidP="00417307">
      <w:pPr>
        <w:pStyle w:val="Textoindependiente"/>
        <w:ind w:firstLine="480"/>
        <w:rPr>
          <w:sz w:val="22"/>
          <w:szCs w:val="22"/>
          <w:lang w:val="es-ES_tradnl"/>
        </w:rPr>
      </w:pPr>
      <w:r w:rsidRPr="001777B2">
        <w:rPr>
          <w:sz w:val="22"/>
          <w:szCs w:val="22"/>
          <w:lang w:val="es-ES_tradnl"/>
        </w:rPr>
        <w:t>No existen rappels por compras ni otros descuentos posteriores a la recepción de la factura, que tengan una influencia significativa en la valoración de las existencias.</w:t>
      </w:r>
    </w:p>
    <w:p w14:paraId="69484392" w14:textId="5C108764" w:rsidR="00853FBE" w:rsidRPr="001777B2" w:rsidRDefault="00853FBE" w:rsidP="00853FBE">
      <w:pPr>
        <w:pStyle w:val="Textoindependiente"/>
        <w:ind w:firstLine="480"/>
        <w:rPr>
          <w:sz w:val="22"/>
          <w:szCs w:val="22"/>
          <w:lang w:val="es-ES_tradnl"/>
        </w:rPr>
      </w:pPr>
      <w:r w:rsidRPr="001777B2">
        <w:rPr>
          <w:sz w:val="22"/>
          <w:szCs w:val="22"/>
          <w:lang w:val="es-ES_tradnl"/>
        </w:rPr>
        <w:t xml:space="preserve">No ha habido correcciones valorativas por deterioro de las existencias en el ejercicio </w:t>
      </w:r>
      <w:r w:rsidR="000253BC">
        <w:rPr>
          <w:sz w:val="22"/>
          <w:szCs w:val="22"/>
          <w:lang w:val="es-ES_tradnl"/>
        </w:rPr>
        <w:t>2021</w:t>
      </w:r>
      <w:r w:rsidRPr="001777B2">
        <w:rPr>
          <w:sz w:val="22"/>
          <w:szCs w:val="22"/>
          <w:lang w:val="es-ES_tradnl"/>
        </w:rPr>
        <w:t>.</w:t>
      </w:r>
    </w:p>
    <w:p w14:paraId="1455298F" w14:textId="77777777" w:rsidR="00853FBE" w:rsidRPr="001777B2" w:rsidRDefault="00853FBE" w:rsidP="00853FBE">
      <w:pPr>
        <w:pStyle w:val="Textoindependiente"/>
        <w:ind w:firstLine="480"/>
        <w:rPr>
          <w:sz w:val="22"/>
          <w:szCs w:val="22"/>
          <w:lang w:val="es-ES_tradnl"/>
        </w:rPr>
      </w:pPr>
      <w:r w:rsidRPr="001777B2">
        <w:rPr>
          <w:sz w:val="22"/>
          <w:szCs w:val="22"/>
          <w:lang w:val="es-ES_tradnl"/>
        </w:rPr>
        <w:t>No ha habido circunstancias que afecten a la titularidad o disponibilidad de las existencias.</w:t>
      </w:r>
    </w:p>
    <w:p w14:paraId="22280D8C" w14:textId="16176657" w:rsidR="00853FBE" w:rsidRDefault="00853FBE" w:rsidP="00853FBE">
      <w:pPr>
        <w:pStyle w:val="Textoindependiente"/>
        <w:ind w:firstLine="480"/>
        <w:rPr>
          <w:sz w:val="22"/>
          <w:szCs w:val="22"/>
        </w:rPr>
      </w:pPr>
      <w:r w:rsidRPr="001777B2">
        <w:rPr>
          <w:sz w:val="22"/>
          <w:szCs w:val="22"/>
          <w:lang w:val="es-ES_tradnl"/>
        </w:rPr>
        <w:t>La Sociedad tiene contratadas pólizas de seguros que garantizan la recuperabilidad del valor neto contable de las existencias</w:t>
      </w:r>
      <w:r>
        <w:rPr>
          <w:sz w:val="22"/>
          <w:szCs w:val="22"/>
        </w:rPr>
        <w:t>.</w:t>
      </w:r>
    </w:p>
    <w:p w14:paraId="759C68FB" w14:textId="0AD893FD" w:rsidR="00853FBE" w:rsidRDefault="00853FBE" w:rsidP="00853FBE">
      <w:pPr>
        <w:pStyle w:val="Ttulo1"/>
        <w:spacing w:before="360" w:after="120"/>
        <w:ind w:left="567" w:hanging="567"/>
        <w:jc w:val="both"/>
        <w:rPr>
          <w:sz w:val="22"/>
          <w:szCs w:val="22"/>
        </w:rPr>
      </w:pPr>
      <w:bookmarkStart w:id="81" w:name="_Toc106814606"/>
      <w:r>
        <w:rPr>
          <w:sz w:val="22"/>
          <w:szCs w:val="22"/>
        </w:rPr>
        <w:lastRenderedPageBreak/>
        <w:t xml:space="preserve">11. </w:t>
      </w:r>
      <w:r>
        <w:rPr>
          <w:sz w:val="22"/>
          <w:szCs w:val="22"/>
        </w:rPr>
        <w:tab/>
        <w:t>Moneda extranjera</w:t>
      </w:r>
      <w:bookmarkEnd w:id="81"/>
    </w:p>
    <w:p w14:paraId="0C745D13" w14:textId="77777777" w:rsidR="00853FBE" w:rsidRDefault="00853FBE" w:rsidP="00853FBE">
      <w:pPr>
        <w:pStyle w:val="Textoindependiente"/>
        <w:rPr>
          <w:sz w:val="22"/>
          <w:szCs w:val="22"/>
        </w:rPr>
      </w:pPr>
      <w:r>
        <w:rPr>
          <w:sz w:val="22"/>
          <w:szCs w:val="22"/>
        </w:rPr>
        <w:tab/>
        <w:t xml:space="preserve">Sin contenido. </w:t>
      </w:r>
    </w:p>
    <w:p w14:paraId="672346FD" w14:textId="77777777" w:rsidR="00853FBE" w:rsidRDefault="00853FBE" w:rsidP="00853FBE">
      <w:pPr>
        <w:pStyle w:val="Ttulo1"/>
        <w:spacing w:before="360" w:after="120"/>
        <w:ind w:left="567" w:hanging="567"/>
        <w:jc w:val="both"/>
        <w:rPr>
          <w:sz w:val="22"/>
          <w:szCs w:val="22"/>
        </w:rPr>
      </w:pPr>
      <w:bookmarkStart w:id="82" w:name="_Toc106814607"/>
      <w:r>
        <w:rPr>
          <w:sz w:val="22"/>
          <w:szCs w:val="22"/>
        </w:rPr>
        <w:t xml:space="preserve">12. </w:t>
      </w:r>
      <w:r>
        <w:rPr>
          <w:sz w:val="22"/>
          <w:szCs w:val="22"/>
        </w:rPr>
        <w:tab/>
        <w:t>Situación fiscal</w:t>
      </w:r>
      <w:bookmarkEnd w:id="82"/>
    </w:p>
    <w:p w14:paraId="4F6754BD" w14:textId="77777777" w:rsidR="00853FBE" w:rsidRDefault="00853FBE" w:rsidP="00853FBE">
      <w:pPr>
        <w:pStyle w:val="Ttulo2"/>
        <w:ind w:left="0"/>
        <w:rPr>
          <w:bCs w:val="0"/>
          <w:iCs/>
          <w:sz w:val="22"/>
        </w:rPr>
      </w:pPr>
      <w:bookmarkStart w:id="83" w:name="_Toc106814608"/>
      <w:r>
        <w:rPr>
          <w:bCs w:val="0"/>
          <w:iCs/>
          <w:sz w:val="22"/>
        </w:rPr>
        <w:t xml:space="preserve">12.1 </w:t>
      </w:r>
      <w:r>
        <w:rPr>
          <w:bCs w:val="0"/>
          <w:iCs/>
          <w:sz w:val="22"/>
        </w:rPr>
        <w:tab/>
        <w:t>Impuestos sobre beneficios</w:t>
      </w:r>
      <w:bookmarkEnd w:id="83"/>
    </w:p>
    <w:p w14:paraId="4A2AC807" w14:textId="0B4DF42E" w:rsidR="00853FBE" w:rsidRDefault="00517B64" w:rsidP="00517B64">
      <w:pPr>
        <w:pStyle w:val="Textoindependiente"/>
        <w:ind w:firstLine="708"/>
        <w:rPr>
          <w:sz w:val="22"/>
          <w:szCs w:val="22"/>
        </w:rPr>
      </w:pPr>
      <w:r>
        <w:rPr>
          <w:sz w:val="22"/>
          <w:szCs w:val="22"/>
        </w:rPr>
        <w:t>Conciliación</w:t>
      </w:r>
      <w:r w:rsidR="00853FBE">
        <w:rPr>
          <w:sz w:val="22"/>
          <w:szCs w:val="22"/>
        </w:rPr>
        <w:t xml:space="preserve"> </w:t>
      </w:r>
      <w:r>
        <w:rPr>
          <w:sz w:val="22"/>
          <w:szCs w:val="22"/>
        </w:rPr>
        <w:t>d</w:t>
      </w:r>
      <w:r w:rsidR="00853FBE">
        <w:rPr>
          <w:sz w:val="22"/>
          <w:szCs w:val="22"/>
        </w:rPr>
        <w:t xml:space="preserve">el importe neto de los ingresos y gastos del ejercicio </w:t>
      </w:r>
      <w:r>
        <w:rPr>
          <w:sz w:val="22"/>
          <w:szCs w:val="22"/>
        </w:rPr>
        <w:t>con</w:t>
      </w:r>
      <w:r w:rsidR="00853FBE">
        <w:rPr>
          <w:sz w:val="22"/>
          <w:szCs w:val="22"/>
        </w:rPr>
        <w:t xml:space="preserve"> la base imponible del ejercicio </w:t>
      </w:r>
      <w:r w:rsidR="000253BC">
        <w:rPr>
          <w:sz w:val="22"/>
          <w:szCs w:val="22"/>
        </w:rPr>
        <w:t>2021</w:t>
      </w:r>
      <w:r w:rsidR="00853FBE">
        <w:rPr>
          <w:sz w:val="22"/>
          <w:szCs w:val="22"/>
        </w:rPr>
        <w:t xml:space="preserve"> (resultado fiscal).</w:t>
      </w:r>
    </w:p>
    <w:bookmarkStart w:id="84" w:name="_MON_1592059878"/>
    <w:bookmarkEnd w:id="84"/>
    <w:p w14:paraId="66488790" w14:textId="625475A6" w:rsidR="00853FBE" w:rsidRDefault="00E748C7" w:rsidP="00853FBE">
      <w:pPr>
        <w:pStyle w:val="Textoindependiente"/>
        <w:ind w:left="-720"/>
        <w:rPr>
          <w:sz w:val="22"/>
          <w:szCs w:val="22"/>
        </w:rPr>
      </w:pPr>
      <w:r w:rsidRPr="00EA0F71">
        <w:rPr>
          <w:rFonts w:ascii="Calibri" w:hAnsi="Calibri"/>
          <w:sz w:val="18"/>
          <w:szCs w:val="18"/>
        </w:rPr>
        <w:object w:dxaOrig="9744" w:dyaOrig="4488" w14:anchorId="03562B08">
          <v:shape id="_x0000_i1044" type="#_x0000_t75" style="width:474.75pt;height:230.25pt" o:ole="">
            <v:imagedata r:id="rId48" o:title=""/>
          </v:shape>
          <o:OLEObject Type="Embed" ProgID="Excel.Sheet.8" ShapeID="_x0000_i1044" DrawAspect="Content" ObjectID="_1717427625" r:id="rId49"/>
        </w:object>
      </w:r>
    </w:p>
    <w:p w14:paraId="0785830C" w14:textId="15CC89EC" w:rsidR="00853FBE" w:rsidRDefault="00853FBE" w:rsidP="00853FBE">
      <w:pPr>
        <w:pStyle w:val="Textoindependiente"/>
        <w:rPr>
          <w:sz w:val="22"/>
          <w:szCs w:val="22"/>
        </w:rPr>
      </w:pPr>
      <w:r>
        <w:rPr>
          <w:sz w:val="22"/>
          <w:szCs w:val="22"/>
        </w:rPr>
        <w:tab/>
        <w:t xml:space="preserve">Las diferencias permanentes son por </w:t>
      </w:r>
      <w:r w:rsidR="00E748C7">
        <w:rPr>
          <w:sz w:val="22"/>
          <w:szCs w:val="22"/>
        </w:rPr>
        <w:t>donativos</w:t>
      </w:r>
      <w:r w:rsidR="00091F1B">
        <w:rPr>
          <w:sz w:val="22"/>
          <w:szCs w:val="22"/>
        </w:rPr>
        <w:t xml:space="preserve"> (</w:t>
      </w:r>
      <w:r w:rsidR="00E748C7">
        <w:rPr>
          <w:sz w:val="22"/>
          <w:szCs w:val="22"/>
        </w:rPr>
        <w:t>900</w:t>
      </w:r>
      <w:r w:rsidR="00091F1B">
        <w:rPr>
          <w:sz w:val="22"/>
          <w:szCs w:val="22"/>
        </w:rPr>
        <w:t xml:space="preserve"> €) y multas y </w:t>
      </w:r>
      <w:r w:rsidR="001F7C66">
        <w:rPr>
          <w:sz w:val="22"/>
          <w:szCs w:val="22"/>
        </w:rPr>
        <w:t>recargos</w:t>
      </w:r>
      <w:r>
        <w:rPr>
          <w:sz w:val="22"/>
          <w:szCs w:val="22"/>
        </w:rPr>
        <w:t xml:space="preserve"> no deducibles fiscalmente</w:t>
      </w:r>
      <w:r w:rsidR="001F7C66">
        <w:rPr>
          <w:sz w:val="22"/>
          <w:szCs w:val="22"/>
        </w:rPr>
        <w:t xml:space="preserve"> (</w:t>
      </w:r>
      <w:r w:rsidR="00E748C7">
        <w:rPr>
          <w:sz w:val="22"/>
          <w:szCs w:val="22"/>
        </w:rPr>
        <w:t>157,82</w:t>
      </w:r>
      <w:r w:rsidR="001F7C66">
        <w:rPr>
          <w:sz w:val="22"/>
          <w:szCs w:val="22"/>
        </w:rPr>
        <w:t xml:space="preserve"> €)</w:t>
      </w:r>
      <w:r>
        <w:rPr>
          <w:sz w:val="22"/>
          <w:szCs w:val="22"/>
        </w:rPr>
        <w:t>.</w:t>
      </w:r>
      <w:r w:rsidR="00990594">
        <w:rPr>
          <w:sz w:val="22"/>
          <w:szCs w:val="22"/>
        </w:rPr>
        <w:t xml:space="preserve"> Las diferencias temporarias se explican por la </w:t>
      </w:r>
      <w:r w:rsidR="00E71474">
        <w:rPr>
          <w:sz w:val="22"/>
          <w:szCs w:val="22"/>
        </w:rPr>
        <w:t xml:space="preserve">reversión del 10% de la </w:t>
      </w:r>
      <w:r w:rsidR="00990594">
        <w:rPr>
          <w:sz w:val="22"/>
          <w:szCs w:val="22"/>
        </w:rPr>
        <w:t>limitación del 30% de la amortización fiscalmente deducible</w:t>
      </w:r>
      <w:r w:rsidR="00E71474">
        <w:rPr>
          <w:sz w:val="22"/>
          <w:szCs w:val="22"/>
        </w:rPr>
        <w:t xml:space="preserve"> practicada en los años 2013 y </w:t>
      </w:r>
      <w:r w:rsidR="001777B2">
        <w:rPr>
          <w:sz w:val="22"/>
          <w:szCs w:val="22"/>
        </w:rPr>
        <w:t>2014</w:t>
      </w:r>
      <w:r w:rsidR="00990594">
        <w:rPr>
          <w:sz w:val="22"/>
          <w:szCs w:val="22"/>
        </w:rPr>
        <w:t xml:space="preserve">, que se </w:t>
      </w:r>
      <w:r w:rsidR="00E71474">
        <w:rPr>
          <w:sz w:val="22"/>
          <w:szCs w:val="22"/>
        </w:rPr>
        <w:t xml:space="preserve">ha empezado </w:t>
      </w:r>
      <w:r w:rsidR="008123D0">
        <w:rPr>
          <w:sz w:val="22"/>
          <w:szCs w:val="22"/>
        </w:rPr>
        <w:t xml:space="preserve">a recuperar </w:t>
      </w:r>
      <w:r w:rsidR="00516C38">
        <w:rPr>
          <w:sz w:val="22"/>
          <w:szCs w:val="22"/>
        </w:rPr>
        <w:t xml:space="preserve">a partir de </w:t>
      </w:r>
      <w:r w:rsidR="00C93C2A">
        <w:rPr>
          <w:sz w:val="22"/>
          <w:szCs w:val="22"/>
        </w:rPr>
        <w:t>2015</w:t>
      </w:r>
      <w:r w:rsidR="00986526">
        <w:rPr>
          <w:sz w:val="22"/>
          <w:szCs w:val="22"/>
        </w:rPr>
        <w:t>,</w:t>
      </w:r>
      <w:r w:rsidR="00C93C2A">
        <w:rPr>
          <w:sz w:val="22"/>
          <w:szCs w:val="22"/>
        </w:rPr>
        <w:t xml:space="preserve"> </w:t>
      </w:r>
      <w:r w:rsidR="00986526">
        <w:rPr>
          <w:sz w:val="22"/>
          <w:szCs w:val="22"/>
        </w:rPr>
        <w:t>y</w:t>
      </w:r>
      <w:r w:rsidR="00425291">
        <w:rPr>
          <w:sz w:val="22"/>
          <w:szCs w:val="22"/>
        </w:rPr>
        <w:t xml:space="preserve">, las que tienen origen en el ejercicio, </w:t>
      </w:r>
      <w:r w:rsidR="00986526">
        <w:rPr>
          <w:sz w:val="22"/>
          <w:szCs w:val="22"/>
        </w:rPr>
        <w:t>por provisiones por retribuciones a largo plazo al personal de prestación definida</w:t>
      </w:r>
      <w:r w:rsidR="008123D0">
        <w:rPr>
          <w:sz w:val="22"/>
          <w:szCs w:val="22"/>
        </w:rPr>
        <w:t xml:space="preserve">. </w:t>
      </w:r>
    </w:p>
    <w:p w14:paraId="28010DC5" w14:textId="31D43E60" w:rsidR="00853FBE" w:rsidRDefault="00E71474" w:rsidP="00853FBE">
      <w:pPr>
        <w:pStyle w:val="Textoindependiente"/>
        <w:ind w:firstLine="708"/>
        <w:rPr>
          <w:sz w:val="22"/>
          <w:szCs w:val="22"/>
        </w:rPr>
      </w:pPr>
      <w:r>
        <w:rPr>
          <w:sz w:val="22"/>
          <w:szCs w:val="22"/>
        </w:rPr>
        <w:t xml:space="preserve">Conciliación del importe neto de </w:t>
      </w:r>
      <w:r w:rsidR="00853FBE">
        <w:rPr>
          <w:sz w:val="22"/>
          <w:szCs w:val="22"/>
        </w:rPr>
        <w:t xml:space="preserve">los ingresos y gastos del ejercicio y la base imponible del ejercicio </w:t>
      </w:r>
      <w:r w:rsidR="000253BC">
        <w:rPr>
          <w:sz w:val="22"/>
          <w:szCs w:val="22"/>
        </w:rPr>
        <w:t>2020</w:t>
      </w:r>
      <w:r w:rsidR="00853FBE">
        <w:rPr>
          <w:sz w:val="22"/>
          <w:szCs w:val="22"/>
        </w:rPr>
        <w:t xml:space="preserve"> (resultado fiscal).</w:t>
      </w:r>
    </w:p>
    <w:p w14:paraId="4B7A1110" w14:textId="512285F0" w:rsidR="00853FBE" w:rsidRDefault="005D0944" w:rsidP="00853FBE">
      <w:pPr>
        <w:pStyle w:val="Textoindependiente"/>
        <w:ind w:left="-720"/>
        <w:rPr>
          <w:sz w:val="22"/>
          <w:szCs w:val="22"/>
        </w:rPr>
      </w:pPr>
      <w:r w:rsidRPr="00EA0F71">
        <w:rPr>
          <w:rFonts w:ascii="Calibri" w:hAnsi="Calibri"/>
          <w:sz w:val="18"/>
          <w:szCs w:val="18"/>
        </w:rPr>
        <w:object w:dxaOrig="9744" w:dyaOrig="4488" w14:anchorId="3D0DAFEA">
          <v:shape id="_x0000_i1045" type="#_x0000_t75" style="width:474.75pt;height:230.25pt" o:ole="">
            <v:imagedata r:id="rId50" o:title=""/>
          </v:shape>
          <o:OLEObject Type="Embed" ProgID="Excel.Sheet.8" ShapeID="_x0000_i1045" DrawAspect="Content" ObjectID="_1717427626" r:id="rId51"/>
        </w:object>
      </w:r>
    </w:p>
    <w:p w14:paraId="4FF282E2" w14:textId="65A2FFC4" w:rsidR="00C93C2A" w:rsidRPr="00C93C2A" w:rsidRDefault="005D0944" w:rsidP="00C93C2A">
      <w:pPr>
        <w:pStyle w:val="Textoindependiente"/>
        <w:ind w:firstLine="708"/>
        <w:rPr>
          <w:sz w:val="22"/>
          <w:szCs w:val="22"/>
        </w:rPr>
      </w:pPr>
      <w:r w:rsidRPr="005D0944">
        <w:rPr>
          <w:sz w:val="22"/>
          <w:szCs w:val="22"/>
        </w:rPr>
        <w:t xml:space="preserve">Las diferencias permanentes </w:t>
      </w:r>
      <w:r>
        <w:rPr>
          <w:sz w:val="22"/>
          <w:szCs w:val="22"/>
        </w:rPr>
        <w:t>fueron</w:t>
      </w:r>
      <w:r w:rsidRPr="005D0944">
        <w:rPr>
          <w:sz w:val="22"/>
          <w:szCs w:val="22"/>
        </w:rPr>
        <w:t xml:space="preserve"> por regularizaciones de saldos deudores (6.201,68 €) y multas y recargos no deducibles fiscalmente (104,71 €). Las diferencias temporarias se explican por la reversión del 10% de la limitación del 30% de la amortización fiscalmente deducible practicada en los años 2013 y 2014, que se ha empezado a recuperar a partir de 2015, y, las que </w:t>
      </w:r>
      <w:r>
        <w:rPr>
          <w:sz w:val="22"/>
          <w:szCs w:val="22"/>
        </w:rPr>
        <w:t>tuvieron</w:t>
      </w:r>
      <w:r w:rsidRPr="005D0944">
        <w:rPr>
          <w:sz w:val="22"/>
          <w:szCs w:val="22"/>
        </w:rPr>
        <w:t xml:space="preserve"> origen en el ejercicio, por provisiones por retribuciones a largo plazo al personal de prestación definida.</w:t>
      </w:r>
    </w:p>
    <w:p w14:paraId="4359F53F" w14:textId="5D445218" w:rsidR="00853FBE" w:rsidRDefault="00853FBE" w:rsidP="00853FBE">
      <w:pPr>
        <w:pStyle w:val="Textoindependiente"/>
        <w:ind w:firstLine="708"/>
        <w:rPr>
          <w:sz w:val="22"/>
          <w:szCs w:val="22"/>
        </w:rPr>
      </w:pPr>
      <w:r>
        <w:rPr>
          <w:sz w:val="22"/>
          <w:szCs w:val="22"/>
        </w:rPr>
        <w:t xml:space="preserve">Desglose del gasto / ingreso por impuesto sobre beneficios en el ejercicio </w:t>
      </w:r>
      <w:r w:rsidR="000253BC">
        <w:rPr>
          <w:sz w:val="22"/>
          <w:szCs w:val="22"/>
        </w:rPr>
        <w:t>2021</w:t>
      </w:r>
      <w:r>
        <w:rPr>
          <w:sz w:val="22"/>
          <w:szCs w:val="22"/>
        </w:rPr>
        <w:t>:</w:t>
      </w:r>
    </w:p>
    <w:bookmarkStart w:id="85" w:name="_MON_1592060914"/>
    <w:bookmarkEnd w:id="85"/>
    <w:p w14:paraId="4599BBD3" w14:textId="79857B6D" w:rsidR="008A29BD" w:rsidRDefault="00E748C7" w:rsidP="00853FBE">
      <w:pPr>
        <w:pStyle w:val="Textoindependiente"/>
        <w:ind w:left="-720"/>
        <w:rPr>
          <w:sz w:val="22"/>
          <w:szCs w:val="22"/>
        </w:rPr>
      </w:pPr>
      <w:r w:rsidRPr="00EA0F71">
        <w:rPr>
          <w:rFonts w:ascii="Calibri" w:hAnsi="Calibri"/>
          <w:sz w:val="18"/>
          <w:szCs w:val="18"/>
        </w:rPr>
        <w:object w:dxaOrig="10064" w:dyaOrig="4764" w14:anchorId="4433FC47">
          <v:shape id="_x0000_i1046" type="#_x0000_t75" style="width:489.75pt;height:230.25pt" o:ole="">
            <v:imagedata r:id="rId52" o:title=""/>
          </v:shape>
          <o:OLEObject Type="Embed" ProgID="Excel.Sheet.8" ShapeID="_x0000_i1046" DrawAspect="Content" ObjectID="_1717427627" r:id="rId53"/>
        </w:object>
      </w:r>
    </w:p>
    <w:p w14:paraId="2EAD3B23" w14:textId="3E813112" w:rsidR="00853FBE" w:rsidRDefault="00853FBE" w:rsidP="00853FBE">
      <w:pPr>
        <w:pStyle w:val="Textoindependiente"/>
        <w:ind w:firstLine="708"/>
        <w:rPr>
          <w:sz w:val="22"/>
          <w:szCs w:val="22"/>
        </w:rPr>
      </w:pPr>
      <w:r>
        <w:rPr>
          <w:sz w:val="22"/>
          <w:szCs w:val="22"/>
        </w:rPr>
        <w:t xml:space="preserve">Desglose del gasto / ingreso por impuesto sobre beneficios en el ejercicio </w:t>
      </w:r>
      <w:r w:rsidR="000253BC">
        <w:rPr>
          <w:sz w:val="22"/>
          <w:szCs w:val="22"/>
        </w:rPr>
        <w:t>2020</w:t>
      </w:r>
      <w:r>
        <w:rPr>
          <w:sz w:val="22"/>
          <w:szCs w:val="22"/>
        </w:rPr>
        <w:t>:</w:t>
      </w:r>
    </w:p>
    <w:p w14:paraId="7617D6BE" w14:textId="28A20A69" w:rsidR="00961A55" w:rsidRDefault="00E748C7" w:rsidP="00853FBE">
      <w:pPr>
        <w:pStyle w:val="Textoindependiente"/>
        <w:ind w:left="-720"/>
        <w:rPr>
          <w:sz w:val="22"/>
          <w:szCs w:val="22"/>
        </w:rPr>
      </w:pPr>
      <w:r w:rsidRPr="00EA0F71">
        <w:rPr>
          <w:rFonts w:ascii="Calibri" w:hAnsi="Calibri"/>
          <w:sz w:val="18"/>
          <w:szCs w:val="18"/>
        </w:rPr>
        <w:object w:dxaOrig="10064" w:dyaOrig="4764" w14:anchorId="4FDB3C38">
          <v:shape id="_x0000_i1047" type="#_x0000_t75" style="width:489.75pt;height:230.25pt" o:ole="">
            <v:imagedata r:id="rId54" o:title=""/>
          </v:shape>
          <o:OLEObject Type="Embed" ProgID="Excel.Sheet.8" ShapeID="_x0000_i1047" DrawAspect="Content" ObjectID="_1717427628" r:id="rId55"/>
        </w:object>
      </w:r>
    </w:p>
    <w:p w14:paraId="2E5035D9" w14:textId="7598F1AB" w:rsidR="00853FBE" w:rsidRDefault="00853FBE" w:rsidP="00853FBE">
      <w:pPr>
        <w:pStyle w:val="Textoindependiente"/>
        <w:ind w:firstLine="720"/>
        <w:rPr>
          <w:sz w:val="22"/>
          <w:szCs w:val="22"/>
        </w:rPr>
      </w:pPr>
      <w:r w:rsidRPr="00F30593">
        <w:rPr>
          <w:sz w:val="22"/>
          <w:szCs w:val="22"/>
        </w:rPr>
        <w:t xml:space="preserve">El detalle del saldo de </w:t>
      </w:r>
      <w:r>
        <w:rPr>
          <w:sz w:val="22"/>
          <w:szCs w:val="22"/>
        </w:rPr>
        <w:t xml:space="preserve">la cuenta de activos por impuesto diferido al cierre del ejercicio </w:t>
      </w:r>
      <w:r w:rsidR="000253BC">
        <w:rPr>
          <w:sz w:val="22"/>
          <w:szCs w:val="22"/>
        </w:rPr>
        <w:t>2021</w:t>
      </w:r>
      <w:r w:rsidRPr="00F30593">
        <w:rPr>
          <w:sz w:val="22"/>
          <w:szCs w:val="22"/>
        </w:rPr>
        <w:t xml:space="preserve"> es el siguiente (en euros):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03"/>
        <w:gridCol w:w="1691"/>
        <w:gridCol w:w="1501"/>
      </w:tblGrid>
      <w:tr w:rsidR="00221380" w:rsidRPr="00D27503" w14:paraId="75303030" w14:textId="77777777" w:rsidTr="0017108C">
        <w:tc>
          <w:tcPr>
            <w:tcW w:w="5303" w:type="dxa"/>
          </w:tcPr>
          <w:p w14:paraId="562E903C" w14:textId="77777777" w:rsidR="00221380" w:rsidRPr="002865E0" w:rsidRDefault="00221380" w:rsidP="00221380">
            <w:pPr>
              <w:pStyle w:val="Textoindependiente"/>
              <w:rPr>
                <w:rFonts w:cs="Arial"/>
                <w:sz w:val="22"/>
                <w:szCs w:val="22"/>
              </w:rPr>
            </w:pPr>
          </w:p>
        </w:tc>
        <w:tc>
          <w:tcPr>
            <w:tcW w:w="1691" w:type="dxa"/>
          </w:tcPr>
          <w:p w14:paraId="536035CC" w14:textId="49F4FFEE" w:rsidR="00221380" w:rsidRPr="00D27503" w:rsidRDefault="000253BC" w:rsidP="00221380">
            <w:pPr>
              <w:pStyle w:val="Tabladeilustraciones"/>
              <w:keepNext/>
              <w:jc w:val="center"/>
              <w:rPr>
                <w:rFonts w:ascii="Arial" w:hAnsi="Arial" w:cs="Arial"/>
                <w:sz w:val="22"/>
                <w:szCs w:val="14"/>
              </w:rPr>
            </w:pPr>
            <w:r>
              <w:rPr>
                <w:rFonts w:ascii="Arial" w:hAnsi="Arial" w:cs="Arial"/>
                <w:sz w:val="22"/>
                <w:szCs w:val="14"/>
              </w:rPr>
              <w:t>2021</w:t>
            </w:r>
          </w:p>
        </w:tc>
        <w:tc>
          <w:tcPr>
            <w:tcW w:w="1501" w:type="dxa"/>
          </w:tcPr>
          <w:p w14:paraId="2CFCB172" w14:textId="5A434876" w:rsidR="00221380" w:rsidRPr="00D27503" w:rsidRDefault="000253BC" w:rsidP="00221380">
            <w:pPr>
              <w:pStyle w:val="Tabladeilustraciones"/>
              <w:keepNext/>
              <w:jc w:val="center"/>
              <w:rPr>
                <w:rFonts w:ascii="Arial" w:hAnsi="Arial" w:cs="Arial"/>
                <w:sz w:val="22"/>
                <w:szCs w:val="14"/>
              </w:rPr>
            </w:pPr>
            <w:r>
              <w:rPr>
                <w:rFonts w:ascii="Arial" w:hAnsi="Arial" w:cs="Arial"/>
                <w:sz w:val="22"/>
                <w:szCs w:val="14"/>
              </w:rPr>
              <w:t>2020</w:t>
            </w:r>
          </w:p>
        </w:tc>
      </w:tr>
      <w:tr w:rsidR="00E748C7" w:rsidRPr="00D27503" w14:paraId="38B29E3F" w14:textId="77777777" w:rsidTr="0017108C">
        <w:tc>
          <w:tcPr>
            <w:tcW w:w="5303" w:type="dxa"/>
          </w:tcPr>
          <w:p w14:paraId="54B5901B" w14:textId="499FA147" w:rsidR="00E748C7" w:rsidRPr="002865E0" w:rsidRDefault="00E748C7" w:rsidP="00E748C7">
            <w:pPr>
              <w:pStyle w:val="Textoindependiente"/>
              <w:rPr>
                <w:rFonts w:cs="Arial"/>
                <w:b/>
                <w:sz w:val="22"/>
                <w:szCs w:val="22"/>
              </w:rPr>
            </w:pPr>
            <w:r>
              <w:rPr>
                <w:rFonts w:cs="Arial"/>
                <w:b/>
                <w:sz w:val="22"/>
                <w:szCs w:val="22"/>
              </w:rPr>
              <w:t xml:space="preserve">Diferencias </w:t>
            </w:r>
            <w:r w:rsidRPr="002865E0">
              <w:rPr>
                <w:rFonts w:cs="Arial"/>
                <w:b/>
                <w:sz w:val="22"/>
                <w:szCs w:val="22"/>
              </w:rPr>
              <w:t xml:space="preserve">temporarias (Impuestos anticipados): </w:t>
            </w:r>
          </w:p>
        </w:tc>
        <w:tc>
          <w:tcPr>
            <w:tcW w:w="1691" w:type="dxa"/>
          </w:tcPr>
          <w:p w14:paraId="54664096" w14:textId="7AD6649B" w:rsidR="00E748C7" w:rsidRPr="002865E0" w:rsidRDefault="00CE57E9" w:rsidP="00E748C7">
            <w:pPr>
              <w:pStyle w:val="Textoindependiente"/>
              <w:jc w:val="center"/>
              <w:rPr>
                <w:rFonts w:cs="Arial"/>
                <w:b/>
                <w:sz w:val="22"/>
                <w:szCs w:val="22"/>
              </w:rPr>
            </w:pPr>
            <w:r>
              <w:rPr>
                <w:rFonts w:cs="Arial"/>
                <w:b/>
                <w:sz w:val="22"/>
                <w:szCs w:val="22"/>
              </w:rPr>
              <w:t>71.355,40</w:t>
            </w:r>
          </w:p>
        </w:tc>
        <w:tc>
          <w:tcPr>
            <w:tcW w:w="1501" w:type="dxa"/>
          </w:tcPr>
          <w:p w14:paraId="71C8A018" w14:textId="44BEE4F8" w:rsidR="00E748C7" w:rsidRPr="002865E0" w:rsidRDefault="00E748C7" w:rsidP="00E748C7">
            <w:pPr>
              <w:pStyle w:val="Textoindependiente"/>
              <w:jc w:val="center"/>
              <w:rPr>
                <w:rFonts w:cs="Arial"/>
                <w:b/>
                <w:sz w:val="22"/>
                <w:szCs w:val="22"/>
              </w:rPr>
            </w:pPr>
            <w:r>
              <w:rPr>
                <w:rFonts w:cs="Arial"/>
                <w:b/>
                <w:sz w:val="22"/>
                <w:szCs w:val="22"/>
              </w:rPr>
              <w:t>114.482,09</w:t>
            </w:r>
          </w:p>
        </w:tc>
      </w:tr>
      <w:tr w:rsidR="00E748C7" w:rsidRPr="00D27503" w14:paraId="51C50C36" w14:textId="77777777" w:rsidTr="0017108C">
        <w:tc>
          <w:tcPr>
            <w:tcW w:w="5303" w:type="dxa"/>
          </w:tcPr>
          <w:p w14:paraId="376DB586" w14:textId="77777777" w:rsidR="00E748C7" w:rsidRPr="002865E0" w:rsidRDefault="00E748C7" w:rsidP="00E748C7">
            <w:pPr>
              <w:pStyle w:val="Textoindependiente"/>
              <w:rPr>
                <w:rFonts w:cs="Arial"/>
                <w:sz w:val="22"/>
                <w:szCs w:val="22"/>
              </w:rPr>
            </w:pPr>
            <w:r w:rsidRPr="002865E0">
              <w:rPr>
                <w:rFonts w:cs="Arial"/>
                <w:sz w:val="22"/>
                <w:szCs w:val="22"/>
              </w:rPr>
              <w:t xml:space="preserve">    Provisiones de cartera</w:t>
            </w:r>
          </w:p>
        </w:tc>
        <w:tc>
          <w:tcPr>
            <w:tcW w:w="1691" w:type="dxa"/>
          </w:tcPr>
          <w:p w14:paraId="06D998F8" w14:textId="77777777" w:rsidR="00E748C7" w:rsidRPr="002865E0" w:rsidRDefault="00E748C7" w:rsidP="00E748C7">
            <w:pPr>
              <w:pStyle w:val="Textoindependiente"/>
              <w:jc w:val="center"/>
              <w:rPr>
                <w:rFonts w:cs="Arial"/>
                <w:sz w:val="22"/>
                <w:szCs w:val="22"/>
              </w:rPr>
            </w:pPr>
          </w:p>
        </w:tc>
        <w:tc>
          <w:tcPr>
            <w:tcW w:w="1501" w:type="dxa"/>
          </w:tcPr>
          <w:p w14:paraId="64CE19EA" w14:textId="77777777" w:rsidR="00E748C7" w:rsidRPr="002865E0" w:rsidRDefault="00E748C7" w:rsidP="00E748C7">
            <w:pPr>
              <w:pStyle w:val="Textoindependiente"/>
              <w:jc w:val="center"/>
              <w:rPr>
                <w:rFonts w:cs="Arial"/>
                <w:sz w:val="22"/>
                <w:szCs w:val="22"/>
              </w:rPr>
            </w:pPr>
          </w:p>
        </w:tc>
      </w:tr>
      <w:tr w:rsidR="00E748C7" w:rsidRPr="00D27503" w14:paraId="2A644DBE" w14:textId="77777777" w:rsidTr="0017108C">
        <w:tc>
          <w:tcPr>
            <w:tcW w:w="5303" w:type="dxa"/>
          </w:tcPr>
          <w:p w14:paraId="0F72442B" w14:textId="77777777" w:rsidR="00E748C7" w:rsidRPr="002865E0" w:rsidRDefault="00E748C7" w:rsidP="00E748C7">
            <w:pPr>
              <w:pStyle w:val="Textoindependiente"/>
              <w:rPr>
                <w:rFonts w:cs="Arial"/>
                <w:sz w:val="22"/>
                <w:szCs w:val="22"/>
              </w:rPr>
            </w:pPr>
            <w:r w:rsidRPr="002865E0">
              <w:rPr>
                <w:rFonts w:cs="Arial"/>
                <w:sz w:val="22"/>
                <w:szCs w:val="22"/>
              </w:rPr>
              <w:t xml:space="preserve">    Provisiones de restructuración</w:t>
            </w:r>
          </w:p>
        </w:tc>
        <w:tc>
          <w:tcPr>
            <w:tcW w:w="1691" w:type="dxa"/>
          </w:tcPr>
          <w:p w14:paraId="2DADE337" w14:textId="77777777" w:rsidR="00E748C7" w:rsidRPr="002865E0" w:rsidRDefault="00E748C7" w:rsidP="00E748C7">
            <w:pPr>
              <w:pStyle w:val="Textoindependiente"/>
              <w:jc w:val="center"/>
              <w:rPr>
                <w:rFonts w:cs="Arial"/>
                <w:sz w:val="22"/>
                <w:szCs w:val="22"/>
              </w:rPr>
            </w:pPr>
          </w:p>
        </w:tc>
        <w:tc>
          <w:tcPr>
            <w:tcW w:w="1501" w:type="dxa"/>
          </w:tcPr>
          <w:p w14:paraId="02F2744D" w14:textId="77777777" w:rsidR="00E748C7" w:rsidRPr="002865E0" w:rsidRDefault="00E748C7" w:rsidP="00E748C7">
            <w:pPr>
              <w:pStyle w:val="Textoindependiente"/>
              <w:jc w:val="center"/>
              <w:rPr>
                <w:rFonts w:cs="Arial"/>
                <w:sz w:val="22"/>
                <w:szCs w:val="22"/>
              </w:rPr>
            </w:pPr>
          </w:p>
        </w:tc>
      </w:tr>
      <w:tr w:rsidR="00E748C7" w:rsidRPr="00D27503" w14:paraId="3E90DCF9" w14:textId="77777777" w:rsidTr="0017108C">
        <w:tc>
          <w:tcPr>
            <w:tcW w:w="5303" w:type="dxa"/>
          </w:tcPr>
          <w:p w14:paraId="65074C76" w14:textId="77777777" w:rsidR="00E748C7" w:rsidRPr="002865E0" w:rsidRDefault="00E748C7" w:rsidP="00E748C7">
            <w:pPr>
              <w:pStyle w:val="Textoindependiente"/>
              <w:rPr>
                <w:rFonts w:cs="Arial"/>
                <w:sz w:val="22"/>
                <w:szCs w:val="22"/>
              </w:rPr>
            </w:pPr>
            <w:r w:rsidRPr="002865E0">
              <w:rPr>
                <w:rFonts w:cs="Arial"/>
                <w:sz w:val="22"/>
                <w:szCs w:val="22"/>
              </w:rPr>
              <w:t xml:space="preserve">    Otros</w:t>
            </w:r>
          </w:p>
        </w:tc>
        <w:tc>
          <w:tcPr>
            <w:tcW w:w="1691" w:type="dxa"/>
          </w:tcPr>
          <w:p w14:paraId="640D44EC" w14:textId="5C2CF6BC" w:rsidR="00E748C7" w:rsidRPr="002865E0" w:rsidRDefault="00CE57E9" w:rsidP="00E748C7">
            <w:pPr>
              <w:pStyle w:val="Textoindependiente"/>
              <w:jc w:val="center"/>
              <w:rPr>
                <w:rFonts w:cs="Arial"/>
                <w:sz w:val="22"/>
                <w:szCs w:val="22"/>
              </w:rPr>
            </w:pPr>
            <w:r>
              <w:rPr>
                <w:rFonts w:cs="Arial"/>
                <w:sz w:val="22"/>
                <w:szCs w:val="22"/>
              </w:rPr>
              <w:t>71.355,40</w:t>
            </w:r>
          </w:p>
        </w:tc>
        <w:tc>
          <w:tcPr>
            <w:tcW w:w="1501" w:type="dxa"/>
          </w:tcPr>
          <w:p w14:paraId="6C1A0DD0" w14:textId="6F22050D" w:rsidR="00E748C7" w:rsidRPr="002865E0" w:rsidRDefault="00E748C7" w:rsidP="00E748C7">
            <w:pPr>
              <w:pStyle w:val="Textoindependiente"/>
              <w:jc w:val="center"/>
              <w:rPr>
                <w:rFonts w:cs="Arial"/>
                <w:sz w:val="22"/>
                <w:szCs w:val="22"/>
              </w:rPr>
            </w:pPr>
            <w:r>
              <w:rPr>
                <w:rFonts w:cs="Arial"/>
                <w:sz w:val="22"/>
                <w:szCs w:val="22"/>
              </w:rPr>
              <w:t>114.862,09</w:t>
            </w:r>
          </w:p>
        </w:tc>
      </w:tr>
      <w:tr w:rsidR="00E748C7" w:rsidRPr="00D27503" w14:paraId="2D1EC08B" w14:textId="77777777" w:rsidTr="0017108C">
        <w:tc>
          <w:tcPr>
            <w:tcW w:w="5303" w:type="dxa"/>
          </w:tcPr>
          <w:p w14:paraId="567A1266" w14:textId="77777777" w:rsidR="00E748C7" w:rsidRPr="002865E0" w:rsidRDefault="00E748C7" w:rsidP="00E748C7">
            <w:pPr>
              <w:pStyle w:val="Textoindependiente"/>
              <w:rPr>
                <w:rFonts w:cs="Arial"/>
                <w:b/>
                <w:sz w:val="22"/>
                <w:szCs w:val="22"/>
              </w:rPr>
            </w:pPr>
            <w:r w:rsidRPr="002865E0">
              <w:rPr>
                <w:rFonts w:cs="Arial"/>
                <w:b/>
                <w:sz w:val="22"/>
                <w:szCs w:val="22"/>
              </w:rPr>
              <w:t>Bases imponibles negativas</w:t>
            </w:r>
          </w:p>
        </w:tc>
        <w:tc>
          <w:tcPr>
            <w:tcW w:w="1691" w:type="dxa"/>
          </w:tcPr>
          <w:p w14:paraId="2420BA02" w14:textId="4EF98271" w:rsidR="00E748C7" w:rsidRPr="002865E0" w:rsidRDefault="00CE57E9" w:rsidP="00E748C7">
            <w:pPr>
              <w:pStyle w:val="Textoindependiente"/>
              <w:jc w:val="center"/>
              <w:rPr>
                <w:rFonts w:cs="Arial"/>
                <w:b/>
                <w:sz w:val="22"/>
                <w:szCs w:val="22"/>
              </w:rPr>
            </w:pPr>
            <w:r>
              <w:rPr>
                <w:rFonts w:cs="Arial"/>
                <w:b/>
                <w:sz w:val="22"/>
                <w:szCs w:val="22"/>
              </w:rPr>
              <w:t>926.354,29</w:t>
            </w:r>
          </w:p>
        </w:tc>
        <w:tc>
          <w:tcPr>
            <w:tcW w:w="1501" w:type="dxa"/>
          </w:tcPr>
          <w:p w14:paraId="168CA83C" w14:textId="402261BE" w:rsidR="00E748C7" w:rsidRPr="002865E0" w:rsidRDefault="00E748C7" w:rsidP="00E748C7">
            <w:pPr>
              <w:pStyle w:val="Textoindependiente"/>
              <w:jc w:val="center"/>
              <w:rPr>
                <w:rFonts w:cs="Arial"/>
                <w:b/>
                <w:sz w:val="22"/>
                <w:szCs w:val="22"/>
              </w:rPr>
            </w:pPr>
            <w:r>
              <w:rPr>
                <w:rFonts w:cs="Arial"/>
                <w:b/>
                <w:sz w:val="22"/>
                <w:szCs w:val="22"/>
              </w:rPr>
              <w:t>1.068.136,70</w:t>
            </w:r>
          </w:p>
        </w:tc>
      </w:tr>
      <w:tr w:rsidR="00E748C7" w:rsidRPr="00D27503" w14:paraId="31A655A4" w14:textId="77777777" w:rsidTr="0017108C">
        <w:tc>
          <w:tcPr>
            <w:tcW w:w="5303" w:type="dxa"/>
          </w:tcPr>
          <w:p w14:paraId="0FCD578F" w14:textId="77777777" w:rsidR="00E748C7" w:rsidRPr="002865E0" w:rsidRDefault="00E748C7" w:rsidP="00E748C7">
            <w:pPr>
              <w:pStyle w:val="Textoindependiente"/>
              <w:rPr>
                <w:rFonts w:cs="Arial"/>
                <w:b/>
                <w:sz w:val="22"/>
                <w:szCs w:val="22"/>
              </w:rPr>
            </w:pPr>
            <w:r w:rsidRPr="002865E0">
              <w:rPr>
                <w:rFonts w:cs="Arial"/>
                <w:b/>
                <w:sz w:val="22"/>
                <w:szCs w:val="22"/>
              </w:rPr>
              <w:t>Deducciones pendientes y otros</w:t>
            </w:r>
          </w:p>
        </w:tc>
        <w:tc>
          <w:tcPr>
            <w:tcW w:w="1691" w:type="dxa"/>
          </w:tcPr>
          <w:p w14:paraId="53A4D23A" w14:textId="5D6526A0" w:rsidR="00E748C7" w:rsidRPr="002865E0" w:rsidRDefault="00E748C7" w:rsidP="00CE57E9">
            <w:pPr>
              <w:pStyle w:val="Textoindependiente"/>
              <w:jc w:val="center"/>
              <w:rPr>
                <w:rFonts w:cs="Arial"/>
                <w:b/>
                <w:sz w:val="22"/>
                <w:szCs w:val="22"/>
              </w:rPr>
            </w:pPr>
            <w:r>
              <w:rPr>
                <w:rFonts w:cs="Arial"/>
                <w:b/>
                <w:sz w:val="22"/>
                <w:szCs w:val="22"/>
              </w:rPr>
              <w:t>3.</w:t>
            </w:r>
            <w:r w:rsidR="00CE57E9">
              <w:rPr>
                <w:rFonts w:cs="Arial"/>
                <w:b/>
                <w:sz w:val="22"/>
                <w:szCs w:val="22"/>
              </w:rPr>
              <w:t>000.899,56</w:t>
            </w:r>
          </w:p>
        </w:tc>
        <w:tc>
          <w:tcPr>
            <w:tcW w:w="1501" w:type="dxa"/>
          </w:tcPr>
          <w:p w14:paraId="7521EDA2" w14:textId="34EF9A5E" w:rsidR="00E748C7" w:rsidRPr="002865E0" w:rsidRDefault="00E748C7" w:rsidP="00E748C7">
            <w:pPr>
              <w:pStyle w:val="Textoindependiente"/>
              <w:jc w:val="center"/>
              <w:rPr>
                <w:rFonts w:cs="Arial"/>
                <w:b/>
                <w:sz w:val="22"/>
                <w:szCs w:val="22"/>
              </w:rPr>
            </w:pPr>
            <w:r>
              <w:rPr>
                <w:rFonts w:cs="Arial"/>
                <w:b/>
                <w:sz w:val="22"/>
                <w:szCs w:val="22"/>
              </w:rPr>
              <w:t>3.111.955,66</w:t>
            </w:r>
          </w:p>
        </w:tc>
      </w:tr>
      <w:tr w:rsidR="00E748C7" w:rsidRPr="00D27503" w14:paraId="59396BD6" w14:textId="77777777" w:rsidTr="0017108C">
        <w:tc>
          <w:tcPr>
            <w:tcW w:w="5303" w:type="dxa"/>
          </w:tcPr>
          <w:p w14:paraId="55303CBC" w14:textId="77777777" w:rsidR="00E748C7" w:rsidRPr="002865E0" w:rsidRDefault="00E748C7" w:rsidP="00E748C7">
            <w:pPr>
              <w:pStyle w:val="Textoindependiente"/>
              <w:rPr>
                <w:rFonts w:cs="Arial"/>
                <w:b/>
                <w:sz w:val="22"/>
                <w:szCs w:val="22"/>
              </w:rPr>
            </w:pPr>
            <w:r w:rsidRPr="002865E0">
              <w:rPr>
                <w:rFonts w:cs="Arial"/>
                <w:b/>
                <w:sz w:val="22"/>
                <w:szCs w:val="22"/>
              </w:rPr>
              <w:t>Total activos por impuesto diferido</w:t>
            </w:r>
          </w:p>
        </w:tc>
        <w:tc>
          <w:tcPr>
            <w:tcW w:w="1691" w:type="dxa"/>
          </w:tcPr>
          <w:p w14:paraId="3696CF11" w14:textId="007B40EE" w:rsidR="00E748C7" w:rsidRPr="002865E0" w:rsidRDefault="00E748C7" w:rsidP="00E748C7">
            <w:pPr>
              <w:pStyle w:val="Textoindependiente"/>
              <w:jc w:val="center"/>
              <w:rPr>
                <w:rFonts w:cs="Arial"/>
                <w:b/>
                <w:sz w:val="22"/>
                <w:szCs w:val="22"/>
              </w:rPr>
            </w:pPr>
            <w:r>
              <w:rPr>
                <w:rFonts w:cs="Arial"/>
                <w:b/>
                <w:sz w:val="22"/>
                <w:szCs w:val="22"/>
              </w:rPr>
              <w:fldChar w:fldCharType="begin"/>
            </w:r>
            <w:r>
              <w:rPr>
                <w:rFonts w:cs="Arial"/>
                <w:b/>
                <w:sz w:val="22"/>
                <w:szCs w:val="22"/>
              </w:rPr>
              <w:instrText xml:space="preserve"> =b2+b6+b7 \# "#.##0,00" </w:instrText>
            </w:r>
            <w:r>
              <w:rPr>
                <w:rFonts w:cs="Arial"/>
                <w:b/>
                <w:sz w:val="22"/>
                <w:szCs w:val="22"/>
              </w:rPr>
              <w:fldChar w:fldCharType="separate"/>
            </w:r>
            <w:r w:rsidR="00E11EEC">
              <w:rPr>
                <w:rFonts w:cs="Arial"/>
                <w:b/>
                <w:noProof/>
                <w:sz w:val="22"/>
                <w:szCs w:val="22"/>
              </w:rPr>
              <w:t>3.998.609,25</w:t>
            </w:r>
            <w:r>
              <w:rPr>
                <w:rFonts w:cs="Arial"/>
                <w:b/>
                <w:sz w:val="22"/>
                <w:szCs w:val="22"/>
              </w:rPr>
              <w:fldChar w:fldCharType="end"/>
            </w:r>
          </w:p>
        </w:tc>
        <w:tc>
          <w:tcPr>
            <w:tcW w:w="1501" w:type="dxa"/>
          </w:tcPr>
          <w:p w14:paraId="52927FB0" w14:textId="78C3E73A" w:rsidR="00E748C7" w:rsidRPr="002865E0" w:rsidRDefault="00E748C7" w:rsidP="00E748C7">
            <w:pPr>
              <w:pStyle w:val="Textoindependiente"/>
              <w:jc w:val="center"/>
              <w:rPr>
                <w:rFonts w:cs="Arial"/>
                <w:b/>
                <w:sz w:val="22"/>
                <w:szCs w:val="22"/>
              </w:rPr>
            </w:pPr>
            <w:r>
              <w:rPr>
                <w:rFonts w:cs="Arial"/>
                <w:b/>
                <w:sz w:val="22"/>
                <w:szCs w:val="22"/>
              </w:rPr>
              <w:fldChar w:fldCharType="begin"/>
            </w:r>
            <w:r>
              <w:rPr>
                <w:rFonts w:cs="Arial"/>
                <w:b/>
                <w:sz w:val="22"/>
                <w:szCs w:val="22"/>
              </w:rPr>
              <w:instrText xml:space="preserve"> =b2+b6+b7 \# "#.##0,00" </w:instrText>
            </w:r>
            <w:r>
              <w:rPr>
                <w:rFonts w:cs="Arial"/>
                <w:b/>
                <w:sz w:val="22"/>
                <w:szCs w:val="22"/>
              </w:rPr>
              <w:fldChar w:fldCharType="separate"/>
            </w:r>
            <w:r w:rsidR="00E11EEC">
              <w:rPr>
                <w:rFonts w:cs="Arial"/>
                <w:b/>
                <w:noProof/>
                <w:sz w:val="22"/>
                <w:szCs w:val="22"/>
              </w:rPr>
              <w:t>3.998.609,25</w:t>
            </w:r>
            <w:r>
              <w:rPr>
                <w:rFonts w:cs="Arial"/>
                <w:b/>
                <w:sz w:val="22"/>
                <w:szCs w:val="22"/>
              </w:rPr>
              <w:fldChar w:fldCharType="end"/>
            </w:r>
          </w:p>
        </w:tc>
      </w:tr>
    </w:tbl>
    <w:p w14:paraId="0AEAD5F9" w14:textId="77777777" w:rsidR="00853FBE" w:rsidRDefault="00853FBE" w:rsidP="00853FBE">
      <w:pPr>
        <w:pStyle w:val="Textoindependiente"/>
        <w:ind w:firstLine="720"/>
        <w:rPr>
          <w:sz w:val="22"/>
          <w:szCs w:val="22"/>
        </w:rPr>
      </w:pPr>
    </w:p>
    <w:p w14:paraId="531451E1" w14:textId="77777777" w:rsidR="005B4AB8" w:rsidRDefault="00853FBE" w:rsidP="00853FBE">
      <w:pPr>
        <w:ind w:firstLine="567"/>
        <w:jc w:val="both"/>
        <w:rPr>
          <w:rFonts w:cs="Arial"/>
          <w:color w:val="000000"/>
          <w:sz w:val="22"/>
          <w:szCs w:val="22"/>
        </w:rPr>
      </w:pPr>
      <w:r w:rsidRPr="00F30593">
        <w:rPr>
          <w:rFonts w:cs="Arial"/>
          <w:color w:val="000000"/>
          <w:sz w:val="22"/>
          <w:szCs w:val="22"/>
        </w:rPr>
        <w:t xml:space="preserve">Los activos por impuesto diferido indicados anteriormente han sido registrados en el balance de situación por considerar </w:t>
      </w:r>
      <w:r>
        <w:rPr>
          <w:rFonts w:cs="Arial"/>
          <w:color w:val="000000"/>
          <w:sz w:val="22"/>
          <w:szCs w:val="22"/>
        </w:rPr>
        <w:t>el órgano de administración</w:t>
      </w:r>
      <w:r w:rsidRPr="00F30593">
        <w:rPr>
          <w:rFonts w:cs="Arial"/>
          <w:color w:val="000000"/>
          <w:sz w:val="22"/>
          <w:szCs w:val="22"/>
        </w:rPr>
        <w:t xml:space="preserve"> que, conforme a la mejor estimación sobre los resultados futuros de la Sociedad, incluyendo determinadas actuaciones de planificación fiscal, es probable que dichos activos sean recuperados.</w:t>
      </w:r>
      <w:r>
        <w:rPr>
          <w:rFonts w:cs="Arial"/>
          <w:color w:val="000000"/>
          <w:sz w:val="22"/>
          <w:szCs w:val="22"/>
        </w:rPr>
        <w:t xml:space="preserve"> </w:t>
      </w:r>
    </w:p>
    <w:p w14:paraId="299407ED" w14:textId="67D6E550" w:rsidR="00760DC5" w:rsidRDefault="005B4AB8" w:rsidP="00853FBE">
      <w:pPr>
        <w:ind w:firstLine="567"/>
        <w:jc w:val="both"/>
        <w:rPr>
          <w:rFonts w:cs="Arial"/>
          <w:color w:val="000000"/>
          <w:sz w:val="22"/>
          <w:szCs w:val="22"/>
        </w:rPr>
      </w:pPr>
      <w:r>
        <w:rPr>
          <w:rFonts w:cs="Arial"/>
          <w:color w:val="000000"/>
          <w:sz w:val="22"/>
          <w:szCs w:val="22"/>
        </w:rPr>
        <w:t xml:space="preserve">En el ejercicio </w:t>
      </w:r>
      <w:r w:rsidR="00A671BE">
        <w:rPr>
          <w:rFonts w:cs="Arial"/>
          <w:color w:val="000000"/>
          <w:sz w:val="22"/>
          <w:szCs w:val="22"/>
        </w:rPr>
        <w:t>2016</w:t>
      </w:r>
      <w:r>
        <w:rPr>
          <w:rFonts w:cs="Arial"/>
          <w:color w:val="000000"/>
          <w:sz w:val="22"/>
          <w:szCs w:val="22"/>
        </w:rPr>
        <w:t xml:space="preserve"> l</w:t>
      </w:r>
      <w:r w:rsidR="00760DC5" w:rsidRPr="00760DC5">
        <w:rPr>
          <w:rFonts w:cs="Arial"/>
          <w:color w:val="000000"/>
          <w:sz w:val="22"/>
          <w:szCs w:val="22"/>
        </w:rPr>
        <w:t xml:space="preserve">a Sociedad </w:t>
      </w:r>
      <w:r w:rsidR="00C93C2A">
        <w:rPr>
          <w:rFonts w:cs="Arial"/>
          <w:color w:val="000000"/>
          <w:sz w:val="22"/>
          <w:szCs w:val="22"/>
        </w:rPr>
        <w:t>afloró</w:t>
      </w:r>
      <w:r w:rsidR="00760DC5" w:rsidRPr="00760DC5">
        <w:rPr>
          <w:rFonts w:cs="Arial"/>
          <w:color w:val="000000"/>
          <w:sz w:val="22"/>
          <w:szCs w:val="22"/>
        </w:rPr>
        <w:t xml:space="preserve"> activos por impuesto diferido por diferencias temporarias, pérdidas fiscales a compensar </w:t>
      </w:r>
      <w:r w:rsidR="00760DC5">
        <w:rPr>
          <w:rFonts w:cs="Arial"/>
          <w:color w:val="000000"/>
          <w:sz w:val="22"/>
          <w:szCs w:val="22"/>
        </w:rPr>
        <w:t>y</w:t>
      </w:r>
      <w:r w:rsidR="00760DC5" w:rsidRPr="00760DC5">
        <w:rPr>
          <w:rFonts w:cs="Arial"/>
          <w:color w:val="000000"/>
          <w:sz w:val="22"/>
          <w:szCs w:val="22"/>
        </w:rPr>
        <w:t xml:space="preserve"> deducciones </w:t>
      </w:r>
      <w:r>
        <w:rPr>
          <w:rFonts w:cs="Arial"/>
          <w:color w:val="000000"/>
          <w:sz w:val="22"/>
          <w:szCs w:val="22"/>
        </w:rPr>
        <w:t>no utilizadas que proceden de</w:t>
      </w:r>
      <w:r w:rsidR="00760DC5" w:rsidRPr="00760DC5">
        <w:rPr>
          <w:rFonts w:cs="Arial"/>
          <w:color w:val="000000"/>
          <w:sz w:val="22"/>
          <w:szCs w:val="22"/>
        </w:rPr>
        <w:t xml:space="preserve"> ejercicio</w:t>
      </w:r>
      <w:r>
        <w:rPr>
          <w:rFonts w:cs="Arial"/>
          <w:color w:val="000000"/>
          <w:sz w:val="22"/>
          <w:szCs w:val="22"/>
        </w:rPr>
        <w:t>s</w:t>
      </w:r>
      <w:r w:rsidR="00760DC5" w:rsidRPr="00760DC5">
        <w:rPr>
          <w:rFonts w:cs="Arial"/>
          <w:color w:val="000000"/>
          <w:sz w:val="22"/>
          <w:szCs w:val="22"/>
        </w:rPr>
        <w:t xml:space="preserve"> anterior</w:t>
      </w:r>
      <w:r>
        <w:rPr>
          <w:rFonts w:cs="Arial"/>
          <w:color w:val="000000"/>
          <w:sz w:val="22"/>
          <w:szCs w:val="22"/>
        </w:rPr>
        <w:t>es</w:t>
      </w:r>
      <w:r w:rsidR="00760DC5" w:rsidRPr="00760DC5">
        <w:rPr>
          <w:rFonts w:cs="Arial"/>
          <w:color w:val="000000"/>
          <w:sz w:val="22"/>
          <w:szCs w:val="22"/>
        </w:rPr>
        <w:t xml:space="preserve"> y no fueron objeto de registro</w:t>
      </w:r>
      <w:r>
        <w:rPr>
          <w:rFonts w:cs="Arial"/>
          <w:color w:val="000000"/>
          <w:sz w:val="22"/>
          <w:szCs w:val="22"/>
        </w:rPr>
        <w:t xml:space="preserve"> hasta entonces</w:t>
      </w:r>
      <w:r w:rsidR="00760DC5" w:rsidRPr="00760DC5">
        <w:rPr>
          <w:rFonts w:cs="Arial"/>
          <w:color w:val="000000"/>
          <w:sz w:val="22"/>
          <w:szCs w:val="22"/>
        </w:rPr>
        <w:t xml:space="preserve">. Las circunstancias que </w:t>
      </w:r>
      <w:r>
        <w:rPr>
          <w:rFonts w:cs="Arial"/>
          <w:color w:val="000000"/>
          <w:sz w:val="22"/>
          <w:szCs w:val="22"/>
        </w:rPr>
        <w:t>motivaron</w:t>
      </w:r>
      <w:r w:rsidR="00760DC5" w:rsidRPr="00760DC5">
        <w:rPr>
          <w:rFonts w:cs="Arial"/>
          <w:color w:val="000000"/>
          <w:sz w:val="22"/>
          <w:szCs w:val="22"/>
        </w:rPr>
        <w:t xml:space="preserve"> esta afloración respecto de las </w:t>
      </w:r>
      <w:r>
        <w:rPr>
          <w:rFonts w:cs="Arial"/>
          <w:color w:val="000000"/>
          <w:sz w:val="22"/>
          <w:szCs w:val="22"/>
        </w:rPr>
        <w:t xml:space="preserve">circunstancias </w:t>
      </w:r>
      <w:r w:rsidR="00760DC5" w:rsidRPr="00760DC5">
        <w:rPr>
          <w:rFonts w:cs="Arial"/>
          <w:color w:val="000000"/>
          <w:sz w:val="22"/>
          <w:szCs w:val="22"/>
        </w:rPr>
        <w:t>existentes en el momento en que no se registraron los citados activos en el balance</w:t>
      </w:r>
      <w:r w:rsidR="00760DC5">
        <w:rPr>
          <w:rFonts w:cs="Arial"/>
          <w:color w:val="000000"/>
          <w:sz w:val="22"/>
          <w:szCs w:val="22"/>
        </w:rPr>
        <w:t xml:space="preserve"> se resumen en que </w:t>
      </w:r>
      <w:r>
        <w:rPr>
          <w:rFonts w:cs="Arial"/>
          <w:color w:val="000000"/>
          <w:sz w:val="22"/>
          <w:szCs w:val="22"/>
        </w:rPr>
        <w:t xml:space="preserve">a 31/12/16 </w:t>
      </w:r>
      <w:r w:rsidR="00760DC5">
        <w:rPr>
          <w:rFonts w:cs="Arial"/>
          <w:color w:val="000000"/>
          <w:sz w:val="22"/>
          <w:szCs w:val="22"/>
        </w:rPr>
        <w:t xml:space="preserve">se </w:t>
      </w:r>
      <w:r>
        <w:rPr>
          <w:rFonts w:cs="Arial"/>
          <w:color w:val="000000"/>
          <w:sz w:val="22"/>
          <w:szCs w:val="22"/>
        </w:rPr>
        <w:t>consolidó</w:t>
      </w:r>
      <w:r w:rsidR="00760DC5">
        <w:rPr>
          <w:rFonts w:cs="Arial"/>
          <w:color w:val="000000"/>
          <w:sz w:val="22"/>
          <w:szCs w:val="22"/>
        </w:rPr>
        <w:t xml:space="preserve"> la tendencia de resultados positivos iniciada el año </w:t>
      </w:r>
      <w:r>
        <w:rPr>
          <w:rFonts w:cs="Arial"/>
          <w:color w:val="000000"/>
          <w:sz w:val="22"/>
          <w:szCs w:val="22"/>
        </w:rPr>
        <w:t>2015</w:t>
      </w:r>
      <w:r w:rsidR="00760DC5">
        <w:rPr>
          <w:rFonts w:cs="Arial"/>
          <w:color w:val="000000"/>
          <w:sz w:val="22"/>
          <w:szCs w:val="22"/>
        </w:rPr>
        <w:t xml:space="preserve"> y a las perspectivas de que </w:t>
      </w:r>
      <w:r>
        <w:rPr>
          <w:rFonts w:cs="Arial"/>
          <w:color w:val="000000"/>
          <w:sz w:val="22"/>
          <w:szCs w:val="22"/>
        </w:rPr>
        <w:t>se continuara</w:t>
      </w:r>
      <w:r w:rsidR="00760DC5">
        <w:rPr>
          <w:rFonts w:cs="Arial"/>
          <w:color w:val="000000"/>
          <w:sz w:val="22"/>
          <w:szCs w:val="22"/>
        </w:rPr>
        <w:t xml:space="preserve"> con al menos el mismo nivel de beneficio que en </w:t>
      </w:r>
      <w:r w:rsidR="00EA7902">
        <w:rPr>
          <w:rFonts w:cs="Arial"/>
          <w:color w:val="000000"/>
          <w:sz w:val="22"/>
          <w:szCs w:val="22"/>
        </w:rPr>
        <w:t>2016</w:t>
      </w:r>
      <w:r>
        <w:rPr>
          <w:rFonts w:cs="Arial"/>
          <w:color w:val="000000"/>
          <w:sz w:val="22"/>
          <w:szCs w:val="22"/>
        </w:rPr>
        <w:t xml:space="preserve"> y 2015</w:t>
      </w:r>
      <w:r w:rsidR="00760DC5">
        <w:rPr>
          <w:rFonts w:cs="Arial"/>
          <w:color w:val="000000"/>
          <w:sz w:val="22"/>
          <w:szCs w:val="22"/>
        </w:rPr>
        <w:t>.</w:t>
      </w:r>
    </w:p>
    <w:p w14:paraId="6E1F7424" w14:textId="166461A5" w:rsidR="00853FBE" w:rsidRPr="00F30593" w:rsidRDefault="005B4AB8" w:rsidP="00853FBE">
      <w:pPr>
        <w:ind w:firstLine="567"/>
        <w:jc w:val="both"/>
        <w:rPr>
          <w:rFonts w:cs="Arial"/>
          <w:color w:val="000000"/>
          <w:sz w:val="22"/>
          <w:szCs w:val="22"/>
        </w:rPr>
      </w:pPr>
      <w:r>
        <w:rPr>
          <w:rFonts w:cs="Arial"/>
          <w:color w:val="000000"/>
          <w:sz w:val="22"/>
          <w:szCs w:val="22"/>
        </w:rPr>
        <w:t xml:space="preserve">Hasta </w:t>
      </w:r>
      <w:r w:rsidR="004D42DA">
        <w:rPr>
          <w:rFonts w:cs="Arial"/>
          <w:color w:val="000000"/>
          <w:sz w:val="22"/>
          <w:szCs w:val="22"/>
        </w:rPr>
        <w:t xml:space="preserve">el ejercicio </w:t>
      </w:r>
      <w:r w:rsidR="00EA7902">
        <w:rPr>
          <w:rFonts w:cs="Arial"/>
          <w:color w:val="000000"/>
          <w:sz w:val="22"/>
          <w:szCs w:val="22"/>
        </w:rPr>
        <w:t>2016</w:t>
      </w:r>
      <w:r w:rsidR="004D42DA">
        <w:rPr>
          <w:rFonts w:cs="Arial"/>
          <w:color w:val="000000"/>
          <w:sz w:val="22"/>
          <w:szCs w:val="22"/>
        </w:rPr>
        <w:t xml:space="preserve"> se </w:t>
      </w:r>
      <w:r>
        <w:rPr>
          <w:rFonts w:cs="Arial"/>
          <w:color w:val="000000"/>
          <w:sz w:val="22"/>
          <w:szCs w:val="22"/>
        </w:rPr>
        <w:t>había optado</w:t>
      </w:r>
      <w:r w:rsidR="004D42DA">
        <w:rPr>
          <w:rFonts w:cs="Arial"/>
          <w:color w:val="000000"/>
          <w:sz w:val="22"/>
          <w:szCs w:val="22"/>
        </w:rPr>
        <w:t xml:space="preserve"> siguiendo el principio de prudencia, por no contabilizar los activos diferidos originados, ni por los incentivos fiscales asociados a las inversiones realizadas, ni por el derecho a compensar en ejercicios posteriores las </w:t>
      </w:r>
      <w:r w:rsidR="004D42DA">
        <w:rPr>
          <w:rFonts w:cs="Arial"/>
          <w:color w:val="000000"/>
          <w:sz w:val="22"/>
          <w:szCs w:val="22"/>
        </w:rPr>
        <w:lastRenderedPageBreak/>
        <w:t xml:space="preserve">pérdidas fiscales habidas en </w:t>
      </w:r>
      <w:r w:rsidR="00760DC5">
        <w:rPr>
          <w:rFonts w:cs="Arial"/>
          <w:color w:val="000000"/>
          <w:sz w:val="22"/>
          <w:szCs w:val="22"/>
        </w:rPr>
        <w:t>los</w:t>
      </w:r>
      <w:r w:rsidR="004D42DA">
        <w:rPr>
          <w:rFonts w:cs="Arial"/>
          <w:color w:val="000000"/>
          <w:sz w:val="22"/>
          <w:szCs w:val="22"/>
        </w:rPr>
        <w:t xml:space="preserve"> ejercicio</w:t>
      </w:r>
      <w:r w:rsidR="00760DC5">
        <w:rPr>
          <w:rFonts w:cs="Arial"/>
          <w:color w:val="000000"/>
          <w:sz w:val="22"/>
          <w:szCs w:val="22"/>
        </w:rPr>
        <w:t>s anteriores</w:t>
      </w:r>
      <w:r w:rsidR="004D42DA">
        <w:rPr>
          <w:rFonts w:cs="Arial"/>
          <w:color w:val="000000"/>
          <w:sz w:val="22"/>
          <w:szCs w:val="22"/>
        </w:rPr>
        <w:t xml:space="preserve">, ni por </w:t>
      </w:r>
      <w:r w:rsidR="00961A55">
        <w:rPr>
          <w:rFonts w:cs="Arial"/>
          <w:color w:val="000000"/>
          <w:sz w:val="22"/>
          <w:szCs w:val="22"/>
        </w:rPr>
        <w:t xml:space="preserve">reversión de </w:t>
      </w:r>
      <w:r w:rsidR="004D42DA">
        <w:rPr>
          <w:rFonts w:cs="Arial"/>
          <w:color w:val="000000"/>
          <w:sz w:val="22"/>
          <w:szCs w:val="22"/>
        </w:rPr>
        <w:t>la limitación de la amortización fiscalmente</w:t>
      </w:r>
      <w:r w:rsidR="004D42DA" w:rsidRPr="00792DEC">
        <w:rPr>
          <w:rFonts w:cs="Arial"/>
          <w:color w:val="000000"/>
          <w:sz w:val="22"/>
          <w:szCs w:val="22"/>
        </w:rPr>
        <w:t xml:space="preserve"> </w:t>
      </w:r>
      <w:r w:rsidR="004D42DA">
        <w:rPr>
          <w:rFonts w:cs="Arial"/>
          <w:color w:val="000000"/>
          <w:sz w:val="22"/>
          <w:szCs w:val="22"/>
        </w:rPr>
        <w:t xml:space="preserve">deducible. </w:t>
      </w:r>
    </w:p>
    <w:p w14:paraId="47B77C3E" w14:textId="63F94C28" w:rsidR="00853FBE" w:rsidRDefault="00853FBE" w:rsidP="00853FBE">
      <w:pPr>
        <w:pStyle w:val="Textoindependiente"/>
        <w:ind w:firstLine="567"/>
        <w:rPr>
          <w:sz w:val="22"/>
          <w:szCs w:val="22"/>
        </w:rPr>
      </w:pPr>
      <w:r>
        <w:rPr>
          <w:sz w:val="22"/>
          <w:szCs w:val="22"/>
        </w:rPr>
        <w:t xml:space="preserve">La naturaleza e importe de los incentivos fiscales pendientes y aplicados en el ejercicio </w:t>
      </w:r>
      <w:r w:rsidR="000253BC">
        <w:rPr>
          <w:sz w:val="22"/>
          <w:szCs w:val="22"/>
        </w:rPr>
        <w:t>2021</w:t>
      </w:r>
      <w:r>
        <w:rPr>
          <w:sz w:val="22"/>
          <w:szCs w:val="22"/>
        </w:rPr>
        <w:t xml:space="preserve"> son los siguientes:</w:t>
      </w:r>
    </w:p>
    <w:bookmarkStart w:id="86" w:name="_MON_1592141158"/>
    <w:bookmarkEnd w:id="86"/>
    <w:p w14:paraId="65263767" w14:textId="5CA7760D" w:rsidR="00853FBE" w:rsidRDefault="00CE57E9" w:rsidP="00853FBE">
      <w:pPr>
        <w:pStyle w:val="Textoindependiente"/>
        <w:ind w:left="927"/>
        <w:rPr>
          <w:sz w:val="22"/>
          <w:szCs w:val="22"/>
        </w:rPr>
      </w:pPr>
      <w:r w:rsidRPr="00EA0F71">
        <w:rPr>
          <w:rFonts w:ascii="Calibri" w:hAnsi="Calibri"/>
          <w:sz w:val="18"/>
          <w:szCs w:val="18"/>
        </w:rPr>
        <w:object w:dxaOrig="5142" w:dyaOrig="2112" w14:anchorId="6D275AF1">
          <v:shape id="_x0000_i1048" type="#_x0000_t75" style="width:324pt;height:136.5pt" o:ole="">
            <v:imagedata r:id="rId56" o:title=""/>
          </v:shape>
          <o:OLEObject Type="Embed" ProgID="Excel.Sheet.8" ShapeID="_x0000_i1048" DrawAspect="Content" ObjectID="_1717427629" r:id="rId57"/>
        </w:object>
      </w:r>
    </w:p>
    <w:p w14:paraId="1461487B" w14:textId="77777777" w:rsidR="00853FBE" w:rsidRDefault="00853FBE" w:rsidP="00853FBE">
      <w:pPr>
        <w:pStyle w:val="Textoindependiente"/>
        <w:ind w:firstLine="708"/>
        <w:rPr>
          <w:sz w:val="22"/>
          <w:szCs w:val="22"/>
        </w:rPr>
      </w:pPr>
      <w:r>
        <w:rPr>
          <w:sz w:val="22"/>
          <w:szCs w:val="22"/>
        </w:rPr>
        <w:t>Los incentivos fiscales aplicables en ejercicios posteriores tienen los siguientes vencimientos:</w:t>
      </w:r>
    </w:p>
    <w:bookmarkStart w:id="87" w:name="_MON_1592061647"/>
    <w:bookmarkEnd w:id="87"/>
    <w:p w14:paraId="73264A4E" w14:textId="4BDF8B50" w:rsidR="00853FBE" w:rsidRDefault="00CE57E9" w:rsidP="00853FBE">
      <w:pPr>
        <w:pStyle w:val="Textoindependiente"/>
        <w:ind w:left="927"/>
        <w:rPr>
          <w:sz w:val="22"/>
          <w:szCs w:val="22"/>
        </w:rPr>
      </w:pPr>
      <w:r w:rsidRPr="00EA0F71">
        <w:rPr>
          <w:rFonts w:ascii="Calibri" w:hAnsi="Calibri"/>
          <w:sz w:val="18"/>
          <w:szCs w:val="18"/>
        </w:rPr>
        <w:object w:dxaOrig="5585" w:dyaOrig="5598" w14:anchorId="096AD06C">
          <v:shape id="_x0000_i1049" type="#_x0000_t75" style="width:381.75pt;height:381.75pt" o:ole="">
            <v:imagedata r:id="rId58" o:title=""/>
          </v:shape>
          <o:OLEObject Type="Embed" ProgID="Excel.Sheet.8" ShapeID="_x0000_i1049" DrawAspect="Content" ObjectID="_1717427630" r:id="rId59"/>
        </w:object>
      </w:r>
    </w:p>
    <w:p w14:paraId="31C2E98A" w14:textId="77777777" w:rsidR="0032593D" w:rsidRDefault="0032593D" w:rsidP="004C1AA7">
      <w:pPr>
        <w:pStyle w:val="Textoindependiente"/>
        <w:ind w:firstLine="720"/>
        <w:rPr>
          <w:sz w:val="22"/>
          <w:szCs w:val="22"/>
        </w:rPr>
      </w:pPr>
    </w:p>
    <w:p w14:paraId="7F64CA41" w14:textId="4F6D52D7" w:rsidR="005B4AB8" w:rsidRDefault="00482AB6" w:rsidP="004C1AA7">
      <w:pPr>
        <w:pStyle w:val="Textoindependiente"/>
        <w:ind w:firstLine="720"/>
        <w:rPr>
          <w:sz w:val="22"/>
          <w:szCs w:val="22"/>
        </w:rPr>
      </w:pPr>
      <w:r w:rsidRPr="00A207E8">
        <w:rPr>
          <w:sz w:val="22"/>
          <w:szCs w:val="22"/>
        </w:rPr>
        <w:lastRenderedPageBreak/>
        <w:t xml:space="preserve">Las bases imponibles negativas del ejercicio </w:t>
      </w:r>
      <w:r w:rsidR="000253BC">
        <w:rPr>
          <w:sz w:val="22"/>
          <w:szCs w:val="22"/>
        </w:rPr>
        <w:t>2021</w:t>
      </w:r>
      <w:r w:rsidRPr="00A207E8">
        <w:rPr>
          <w:sz w:val="22"/>
          <w:szCs w:val="22"/>
        </w:rPr>
        <w:t xml:space="preserve"> y anteriores se reflejan en la siguiente tabla: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0"/>
        <w:gridCol w:w="3080"/>
        <w:gridCol w:w="2965"/>
      </w:tblGrid>
      <w:tr w:rsidR="00853FBE" w:rsidRPr="00D27503" w14:paraId="77EF55C6" w14:textId="77777777">
        <w:trPr>
          <w:trHeight w:val="428"/>
        </w:trPr>
        <w:tc>
          <w:tcPr>
            <w:tcW w:w="1442" w:type="pct"/>
          </w:tcPr>
          <w:p w14:paraId="01C8DFDA" w14:textId="77777777" w:rsidR="00853FBE" w:rsidRPr="002865E0" w:rsidRDefault="00853FBE" w:rsidP="00853FBE">
            <w:pPr>
              <w:pStyle w:val="Textoindependiente"/>
              <w:rPr>
                <w:rFonts w:cs="Arial"/>
                <w:sz w:val="22"/>
                <w:szCs w:val="22"/>
              </w:rPr>
            </w:pPr>
            <w:r w:rsidRPr="002865E0">
              <w:rPr>
                <w:rFonts w:cs="Arial"/>
                <w:sz w:val="22"/>
                <w:szCs w:val="22"/>
              </w:rPr>
              <w:t>Ejercicio</w:t>
            </w:r>
          </w:p>
        </w:tc>
        <w:tc>
          <w:tcPr>
            <w:tcW w:w="1813" w:type="pct"/>
          </w:tcPr>
          <w:p w14:paraId="124056CF" w14:textId="77777777" w:rsidR="00853FBE" w:rsidRPr="002865E0" w:rsidRDefault="00853FBE" w:rsidP="00853FBE">
            <w:pPr>
              <w:pStyle w:val="Textoindependiente"/>
              <w:jc w:val="center"/>
              <w:rPr>
                <w:rFonts w:cs="Arial"/>
                <w:sz w:val="22"/>
                <w:szCs w:val="22"/>
              </w:rPr>
            </w:pPr>
            <w:r w:rsidRPr="002865E0">
              <w:rPr>
                <w:rFonts w:cs="Arial"/>
                <w:sz w:val="22"/>
                <w:szCs w:val="22"/>
              </w:rPr>
              <w:t>Importe</w:t>
            </w:r>
          </w:p>
        </w:tc>
        <w:tc>
          <w:tcPr>
            <w:tcW w:w="1745" w:type="pct"/>
          </w:tcPr>
          <w:p w14:paraId="494F07E9" w14:textId="4ACD0AC9" w:rsidR="00853FBE" w:rsidRPr="002865E0" w:rsidRDefault="00482AB6" w:rsidP="00853FBE">
            <w:pPr>
              <w:pStyle w:val="Textoindependiente"/>
              <w:jc w:val="center"/>
              <w:rPr>
                <w:rFonts w:cs="Arial"/>
                <w:sz w:val="22"/>
                <w:szCs w:val="22"/>
              </w:rPr>
            </w:pPr>
            <w:r>
              <w:rPr>
                <w:rFonts w:cs="Arial"/>
                <w:sz w:val="22"/>
                <w:szCs w:val="22"/>
              </w:rPr>
              <w:t>Vencimiento</w:t>
            </w:r>
          </w:p>
        </w:tc>
      </w:tr>
      <w:tr w:rsidR="00482AB6" w:rsidRPr="00D27503" w14:paraId="6160289B" w14:textId="77777777">
        <w:trPr>
          <w:trHeight w:val="409"/>
        </w:trPr>
        <w:tc>
          <w:tcPr>
            <w:tcW w:w="1442" w:type="pct"/>
          </w:tcPr>
          <w:p w14:paraId="6EB62F58" w14:textId="77777777" w:rsidR="00482AB6" w:rsidRPr="002865E0" w:rsidRDefault="00482AB6" w:rsidP="00853FBE">
            <w:pPr>
              <w:pStyle w:val="Textoindependiente"/>
              <w:rPr>
                <w:rFonts w:cs="Arial"/>
                <w:sz w:val="22"/>
                <w:szCs w:val="22"/>
              </w:rPr>
            </w:pPr>
            <w:r w:rsidRPr="002865E0">
              <w:rPr>
                <w:rFonts w:cs="Arial"/>
                <w:sz w:val="22"/>
                <w:szCs w:val="22"/>
              </w:rPr>
              <w:t>2.010</w:t>
            </w:r>
          </w:p>
        </w:tc>
        <w:tc>
          <w:tcPr>
            <w:tcW w:w="1813" w:type="pct"/>
          </w:tcPr>
          <w:p w14:paraId="5E434711" w14:textId="6EA39B1F" w:rsidR="00482AB6" w:rsidRPr="002865E0" w:rsidRDefault="00CE57E9" w:rsidP="00853FBE">
            <w:pPr>
              <w:pStyle w:val="Textoindependiente"/>
              <w:jc w:val="center"/>
              <w:rPr>
                <w:rFonts w:cs="Arial"/>
                <w:sz w:val="22"/>
                <w:szCs w:val="22"/>
              </w:rPr>
            </w:pPr>
            <w:r>
              <w:rPr>
                <w:rFonts w:cs="Arial"/>
                <w:sz w:val="22"/>
                <w:szCs w:val="22"/>
              </w:rPr>
              <w:t>713.924,79</w:t>
            </w:r>
          </w:p>
        </w:tc>
        <w:tc>
          <w:tcPr>
            <w:tcW w:w="1745" w:type="pct"/>
          </w:tcPr>
          <w:p w14:paraId="560A3A01" w14:textId="021DF290" w:rsidR="00482AB6" w:rsidRPr="002865E0" w:rsidRDefault="00482AB6" w:rsidP="00853FBE">
            <w:pPr>
              <w:pStyle w:val="Textoindependiente"/>
              <w:jc w:val="center"/>
              <w:rPr>
                <w:rFonts w:cs="Arial"/>
                <w:sz w:val="22"/>
                <w:szCs w:val="22"/>
              </w:rPr>
            </w:pPr>
            <w:r>
              <w:rPr>
                <w:sz w:val="22"/>
                <w:szCs w:val="22"/>
              </w:rPr>
              <w:t>Sin límite</w:t>
            </w:r>
          </w:p>
        </w:tc>
      </w:tr>
      <w:tr w:rsidR="00482AB6" w:rsidRPr="00D27503" w14:paraId="4571A27B" w14:textId="77777777">
        <w:trPr>
          <w:trHeight w:val="409"/>
        </w:trPr>
        <w:tc>
          <w:tcPr>
            <w:tcW w:w="1442" w:type="pct"/>
          </w:tcPr>
          <w:p w14:paraId="41029FE5" w14:textId="77777777" w:rsidR="00482AB6" w:rsidRPr="002865E0" w:rsidRDefault="00482AB6" w:rsidP="00853FBE">
            <w:pPr>
              <w:pStyle w:val="Textoindependiente"/>
              <w:rPr>
                <w:rFonts w:cs="Arial"/>
                <w:sz w:val="22"/>
                <w:szCs w:val="22"/>
              </w:rPr>
            </w:pPr>
            <w:r w:rsidRPr="002865E0">
              <w:rPr>
                <w:rFonts w:cs="Arial"/>
                <w:sz w:val="22"/>
                <w:szCs w:val="22"/>
              </w:rPr>
              <w:t>2.011</w:t>
            </w:r>
          </w:p>
        </w:tc>
        <w:tc>
          <w:tcPr>
            <w:tcW w:w="1813" w:type="pct"/>
          </w:tcPr>
          <w:p w14:paraId="1CBCE903" w14:textId="77777777" w:rsidR="00482AB6" w:rsidRPr="002865E0" w:rsidRDefault="00482AB6" w:rsidP="00853FBE">
            <w:pPr>
              <w:pStyle w:val="Textoindependiente"/>
              <w:jc w:val="center"/>
              <w:rPr>
                <w:rFonts w:cs="Arial"/>
                <w:sz w:val="22"/>
                <w:szCs w:val="22"/>
              </w:rPr>
            </w:pPr>
            <w:r w:rsidRPr="002865E0">
              <w:rPr>
                <w:rFonts w:cs="Arial"/>
                <w:sz w:val="22"/>
                <w:szCs w:val="22"/>
              </w:rPr>
              <w:t>610.344,92</w:t>
            </w:r>
          </w:p>
        </w:tc>
        <w:tc>
          <w:tcPr>
            <w:tcW w:w="1745" w:type="pct"/>
          </w:tcPr>
          <w:p w14:paraId="1643E33F" w14:textId="5DA12339" w:rsidR="00482AB6" w:rsidRPr="002865E0" w:rsidRDefault="00482AB6" w:rsidP="00853FBE">
            <w:pPr>
              <w:pStyle w:val="Textoindependiente"/>
              <w:jc w:val="center"/>
              <w:rPr>
                <w:rFonts w:cs="Arial"/>
                <w:sz w:val="22"/>
                <w:szCs w:val="22"/>
              </w:rPr>
            </w:pPr>
            <w:r w:rsidRPr="0030477F">
              <w:rPr>
                <w:sz w:val="22"/>
                <w:szCs w:val="22"/>
              </w:rPr>
              <w:t>Sin límite</w:t>
            </w:r>
          </w:p>
        </w:tc>
      </w:tr>
      <w:tr w:rsidR="00482AB6" w:rsidRPr="00D27503" w14:paraId="4F667CAD" w14:textId="77777777">
        <w:trPr>
          <w:trHeight w:val="409"/>
        </w:trPr>
        <w:tc>
          <w:tcPr>
            <w:tcW w:w="1442" w:type="pct"/>
          </w:tcPr>
          <w:p w14:paraId="3373242C" w14:textId="77777777" w:rsidR="00482AB6" w:rsidRPr="002865E0" w:rsidRDefault="00482AB6" w:rsidP="00853FBE">
            <w:pPr>
              <w:pStyle w:val="Textoindependiente"/>
              <w:rPr>
                <w:rFonts w:cs="Arial"/>
                <w:sz w:val="22"/>
                <w:szCs w:val="22"/>
              </w:rPr>
            </w:pPr>
            <w:r>
              <w:rPr>
                <w:rFonts w:cs="Arial"/>
                <w:sz w:val="22"/>
                <w:szCs w:val="22"/>
              </w:rPr>
              <w:t>2.012</w:t>
            </w:r>
          </w:p>
        </w:tc>
        <w:tc>
          <w:tcPr>
            <w:tcW w:w="1813" w:type="pct"/>
          </w:tcPr>
          <w:p w14:paraId="633F7D81" w14:textId="77777777" w:rsidR="00482AB6" w:rsidRPr="002865E0" w:rsidRDefault="00482AB6" w:rsidP="00853FBE">
            <w:pPr>
              <w:pStyle w:val="Textoindependiente"/>
              <w:jc w:val="center"/>
              <w:rPr>
                <w:rFonts w:cs="Arial"/>
                <w:sz w:val="22"/>
                <w:szCs w:val="22"/>
              </w:rPr>
            </w:pPr>
            <w:r>
              <w:rPr>
                <w:rFonts w:cs="Arial"/>
                <w:sz w:val="22"/>
                <w:szCs w:val="22"/>
              </w:rPr>
              <w:t>574.635,80</w:t>
            </w:r>
          </w:p>
        </w:tc>
        <w:tc>
          <w:tcPr>
            <w:tcW w:w="1745" w:type="pct"/>
          </w:tcPr>
          <w:p w14:paraId="15BEAFAF" w14:textId="38D7FBFA" w:rsidR="00482AB6" w:rsidRPr="002865E0" w:rsidRDefault="00482AB6" w:rsidP="00853FBE">
            <w:pPr>
              <w:pStyle w:val="Textoindependiente"/>
              <w:jc w:val="center"/>
              <w:rPr>
                <w:rFonts w:cs="Arial"/>
                <w:sz w:val="22"/>
                <w:szCs w:val="22"/>
              </w:rPr>
            </w:pPr>
            <w:r w:rsidRPr="0030477F">
              <w:rPr>
                <w:sz w:val="22"/>
                <w:szCs w:val="22"/>
              </w:rPr>
              <w:t>Sin límite</w:t>
            </w:r>
          </w:p>
        </w:tc>
      </w:tr>
      <w:tr w:rsidR="00482AB6" w:rsidRPr="00D27503" w14:paraId="466238B5" w14:textId="77777777">
        <w:trPr>
          <w:trHeight w:val="409"/>
        </w:trPr>
        <w:tc>
          <w:tcPr>
            <w:tcW w:w="1442" w:type="pct"/>
          </w:tcPr>
          <w:p w14:paraId="29C9EA37" w14:textId="77777777" w:rsidR="00482AB6" w:rsidRDefault="00482AB6" w:rsidP="00853FBE">
            <w:pPr>
              <w:pStyle w:val="Textoindependiente"/>
              <w:rPr>
                <w:rFonts w:cs="Arial"/>
                <w:sz w:val="22"/>
                <w:szCs w:val="22"/>
              </w:rPr>
            </w:pPr>
            <w:r>
              <w:rPr>
                <w:rFonts w:cs="Arial"/>
                <w:sz w:val="22"/>
                <w:szCs w:val="22"/>
              </w:rPr>
              <w:t>2.013</w:t>
            </w:r>
          </w:p>
        </w:tc>
        <w:tc>
          <w:tcPr>
            <w:tcW w:w="1813" w:type="pct"/>
          </w:tcPr>
          <w:p w14:paraId="422B1300" w14:textId="77777777" w:rsidR="00482AB6" w:rsidRDefault="00482AB6" w:rsidP="00853FBE">
            <w:pPr>
              <w:pStyle w:val="Textoindependiente"/>
              <w:jc w:val="center"/>
              <w:rPr>
                <w:rFonts w:cs="Arial"/>
                <w:sz w:val="22"/>
                <w:szCs w:val="22"/>
              </w:rPr>
            </w:pPr>
            <w:r>
              <w:rPr>
                <w:rFonts w:cs="Arial"/>
                <w:sz w:val="22"/>
                <w:szCs w:val="22"/>
              </w:rPr>
              <w:t>34.908,22</w:t>
            </w:r>
          </w:p>
        </w:tc>
        <w:tc>
          <w:tcPr>
            <w:tcW w:w="1745" w:type="pct"/>
          </w:tcPr>
          <w:p w14:paraId="0984CABC" w14:textId="4DE896CF" w:rsidR="00482AB6" w:rsidRPr="002865E0" w:rsidRDefault="00482AB6" w:rsidP="00853FBE">
            <w:pPr>
              <w:pStyle w:val="Textoindependiente"/>
              <w:jc w:val="center"/>
              <w:rPr>
                <w:rFonts w:cs="Arial"/>
                <w:sz w:val="22"/>
                <w:szCs w:val="22"/>
              </w:rPr>
            </w:pPr>
            <w:r>
              <w:rPr>
                <w:sz w:val="22"/>
                <w:szCs w:val="22"/>
              </w:rPr>
              <w:t>Sin límite</w:t>
            </w:r>
          </w:p>
        </w:tc>
      </w:tr>
      <w:tr w:rsidR="00B51C81" w:rsidRPr="00D27503" w14:paraId="1952D9C7" w14:textId="77777777">
        <w:trPr>
          <w:trHeight w:val="409"/>
        </w:trPr>
        <w:tc>
          <w:tcPr>
            <w:tcW w:w="1442" w:type="pct"/>
          </w:tcPr>
          <w:p w14:paraId="77CE45B7" w14:textId="01C442FE" w:rsidR="00B51C81" w:rsidRDefault="00B51C81" w:rsidP="00853FBE">
            <w:pPr>
              <w:pStyle w:val="Textoindependiente"/>
              <w:rPr>
                <w:rFonts w:cs="Arial"/>
                <w:sz w:val="22"/>
                <w:szCs w:val="22"/>
              </w:rPr>
            </w:pPr>
            <w:r>
              <w:rPr>
                <w:rFonts w:cs="Arial"/>
                <w:sz w:val="22"/>
                <w:szCs w:val="22"/>
              </w:rPr>
              <w:t>2.020</w:t>
            </w:r>
          </w:p>
        </w:tc>
        <w:tc>
          <w:tcPr>
            <w:tcW w:w="1813" w:type="pct"/>
          </w:tcPr>
          <w:p w14:paraId="3F5580AE" w14:textId="5018D33E" w:rsidR="00B51C81" w:rsidRDefault="00B51C81" w:rsidP="00853FBE">
            <w:pPr>
              <w:pStyle w:val="Textoindependiente"/>
              <w:jc w:val="center"/>
              <w:rPr>
                <w:rFonts w:cs="Arial"/>
                <w:sz w:val="22"/>
                <w:szCs w:val="22"/>
              </w:rPr>
            </w:pPr>
            <w:r>
              <w:rPr>
                <w:rFonts w:cs="Arial"/>
                <w:sz w:val="22"/>
                <w:szCs w:val="22"/>
              </w:rPr>
              <w:t>1.771.603,42</w:t>
            </w:r>
          </w:p>
        </w:tc>
        <w:tc>
          <w:tcPr>
            <w:tcW w:w="1745" w:type="pct"/>
          </w:tcPr>
          <w:p w14:paraId="4E366F26" w14:textId="5EBCEC39" w:rsidR="00B51C81" w:rsidRDefault="00B51C81" w:rsidP="00853FBE">
            <w:pPr>
              <w:pStyle w:val="Textoindependiente"/>
              <w:jc w:val="center"/>
              <w:rPr>
                <w:sz w:val="22"/>
                <w:szCs w:val="22"/>
              </w:rPr>
            </w:pPr>
            <w:r>
              <w:rPr>
                <w:sz w:val="22"/>
                <w:szCs w:val="22"/>
              </w:rPr>
              <w:t>Sin límite</w:t>
            </w:r>
          </w:p>
        </w:tc>
      </w:tr>
    </w:tbl>
    <w:p w14:paraId="41264A40" w14:textId="77777777" w:rsidR="00853FBE" w:rsidRDefault="00853FBE" w:rsidP="00853FBE">
      <w:pPr>
        <w:pStyle w:val="Textoindependiente"/>
        <w:ind w:firstLine="720"/>
        <w:rPr>
          <w:sz w:val="22"/>
          <w:szCs w:val="22"/>
        </w:rPr>
      </w:pPr>
    </w:p>
    <w:p w14:paraId="689B4BEE" w14:textId="710C657A" w:rsidR="00853FBE" w:rsidRDefault="00853FBE" w:rsidP="00853FBE">
      <w:pPr>
        <w:pStyle w:val="Textoindependiente"/>
        <w:ind w:firstLine="720"/>
        <w:rPr>
          <w:sz w:val="22"/>
          <w:szCs w:val="22"/>
        </w:rPr>
      </w:pPr>
      <w:r w:rsidRPr="00F30593">
        <w:rPr>
          <w:sz w:val="22"/>
          <w:szCs w:val="22"/>
        </w:rPr>
        <w:t xml:space="preserve">El detalle del saldo de </w:t>
      </w:r>
      <w:r>
        <w:rPr>
          <w:sz w:val="22"/>
          <w:szCs w:val="22"/>
        </w:rPr>
        <w:t xml:space="preserve">la cuenta de pasivos por diferencias temporarias imponibles al cierre del ejercicio </w:t>
      </w:r>
      <w:r w:rsidR="000253BC">
        <w:rPr>
          <w:sz w:val="22"/>
          <w:szCs w:val="22"/>
        </w:rPr>
        <w:t>2021</w:t>
      </w:r>
      <w:r w:rsidRPr="00F30593">
        <w:rPr>
          <w:sz w:val="22"/>
          <w:szCs w:val="22"/>
        </w:rPr>
        <w:t xml:space="preserve"> es el siguiente (en euros):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5"/>
        <w:gridCol w:w="1407"/>
        <w:gridCol w:w="1713"/>
      </w:tblGrid>
      <w:tr w:rsidR="00853FBE" w:rsidRPr="00D27503" w14:paraId="142F413C" w14:textId="77777777" w:rsidTr="00A671BE">
        <w:tc>
          <w:tcPr>
            <w:tcW w:w="5375" w:type="dxa"/>
          </w:tcPr>
          <w:p w14:paraId="28BCDFC6" w14:textId="77777777" w:rsidR="00853FBE" w:rsidRPr="002865E0" w:rsidRDefault="00853FBE" w:rsidP="00853FBE">
            <w:pPr>
              <w:pStyle w:val="Textoindependiente"/>
              <w:rPr>
                <w:rFonts w:cs="Arial"/>
                <w:sz w:val="22"/>
                <w:szCs w:val="22"/>
              </w:rPr>
            </w:pPr>
          </w:p>
        </w:tc>
        <w:tc>
          <w:tcPr>
            <w:tcW w:w="1407" w:type="dxa"/>
          </w:tcPr>
          <w:p w14:paraId="70E1817F" w14:textId="67111459" w:rsidR="00853FBE" w:rsidRPr="002865E0" w:rsidRDefault="000253BC" w:rsidP="00853FBE">
            <w:pPr>
              <w:pStyle w:val="Textoindependiente"/>
              <w:jc w:val="center"/>
              <w:rPr>
                <w:rFonts w:cs="Arial"/>
                <w:sz w:val="22"/>
                <w:szCs w:val="22"/>
              </w:rPr>
            </w:pPr>
            <w:r>
              <w:rPr>
                <w:rFonts w:cs="Arial"/>
                <w:sz w:val="22"/>
                <w:szCs w:val="22"/>
              </w:rPr>
              <w:t>2021</w:t>
            </w:r>
          </w:p>
        </w:tc>
        <w:tc>
          <w:tcPr>
            <w:tcW w:w="1713" w:type="dxa"/>
          </w:tcPr>
          <w:p w14:paraId="1631EBC9" w14:textId="1D1FA821" w:rsidR="00853FBE" w:rsidRPr="002865E0" w:rsidRDefault="000253BC" w:rsidP="00853FBE">
            <w:pPr>
              <w:pStyle w:val="Textoindependiente"/>
              <w:jc w:val="center"/>
              <w:rPr>
                <w:rFonts w:cs="Arial"/>
                <w:sz w:val="22"/>
                <w:szCs w:val="22"/>
              </w:rPr>
            </w:pPr>
            <w:r>
              <w:rPr>
                <w:rFonts w:cs="Arial"/>
                <w:sz w:val="22"/>
                <w:szCs w:val="22"/>
              </w:rPr>
              <w:t>2020</w:t>
            </w:r>
          </w:p>
        </w:tc>
      </w:tr>
      <w:tr w:rsidR="00572A90" w:rsidRPr="00D27503" w14:paraId="5F195BBD" w14:textId="77777777" w:rsidTr="00A671BE">
        <w:tc>
          <w:tcPr>
            <w:tcW w:w="5375" w:type="dxa"/>
          </w:tcPr>
          <w:p w14:paraId="73E64BA6" w14:textId="77777777" w:rsidR="00572A90" w:rsidRPr="002865E0" w:rsidRDefault="00572A90" w:rsidP="00572A90">
            <w:pPr>
              <w:pStyle w:val="Textoindependiente"/>
              <w:rPr>
                <w:rFonts w:cs="Arial"/>
                <w:sz w:val="22"/>
                <w:szCs w:val="22"/>
              </w:rPr>
            </w:pPr>
            <w:r w:rsidRPr="002865E0">
              <w:rPr>
                <w:rFonts w:cs="Arial"/>
                <w:sz w:val="22"/>
                <w:szCs w:val="22"/>
              </w:rPr>
              <w:t>Diferencias temporarias por subvenciones</w:t>
            </w:r>
          </w:p>
        </w:tc>
        <w:tc>
          <w:tcPr>
            <w:tcW w:w="1407" w:type="dxa"/>
          </w:tcPr>
          <w:p w14:paraId="64F109A0" w14:textId="7C04DEA1" w:rsidR="00572A90" w:rsidRPr="002865E0" w:rsidRDefault="00CE57E9" w:rsidP="00572A90">
            <w:pPr>
              <w:pStyle w:val="Textoindependiente"/>
              <w:jc w:val="center"/>
              <w:rPr>
                <w:rFonts w:cs="Arial"/>
                <w:sz w:val="22"/>
                <w:szCs w:val="22"/>
              </w:rPr>
            </w:pPr>
            <w:r>
              <w:rPr>
                <w:rFonts w:cs="Arial"/>
                <w:sz w:val="22"/>
                <w:szCs w:val="22"/>
              </w:rPr>
              <w:t>150.231,93</w:t>
            </w:r>
          </w:p>
        </w:tc>
        <w:tc>
          <w:tcPr>
            <w:tcW w:w="1713" w:type="dxa"/>
          </w:tcPr>
          <w:p w14:paraId="0E0B35BD" w14:textId="6848BD9D" w:rsidR="00572A90" w:rsidRPr="002865E0" w:rsidRDefault="00B51C81" w:rsidP="00572A90">
            <w:pPr>
              <w:pStyle w:val="Textoindependiente"/>
              <w:jc w:val="center"/>
              <w:rPr>
                <w:rFonts w:cs="Arial"/>
                <w:sz w:val="22"/>
                <w:szCs w:val="22"/>
              </w:rPr>
            </w:pPr>
            <w:r>
              <w:rPr>
                <w:rFonts w:cs="Arial"/>
                <w:sz w:val="22"/>
                <w:szCs w:val="22"/>
              </w:rPr>
              <w:t>0,00</w:t>
            </w:r>
          </w:p>
        </w:tc>
      </w:tr>
      <w:tr w:rsidR="00572A90" w:rsidRPr="00D27503" w14:paraId="4C3DD1BF" w14:textId="77777777" w:rsidTr="00A671BE">
        <w:tc>
          <w:tcPr>
            <w:tcW w:w="5375" w:type="dxa"/>
          </w:tcPr>
          <w:p w14:paraId="6AE157D2" w14:textId="77777777" w:rsidR="00572A90" w:rsidRPr="002865E0" w:rsidRDefault="00572A90" w:rsidP="00572A90">
            <w:pPr>
              <w:pStyle w:val="Textoindependiente"/>
              <w:rPr>
                <w:rFonts w:cs="Arial"/>
                <w:b/>
                <w:sz w:val="22"/>
                <w:szCs w:val="22"/>
              </w:rPr>
            </w:pPr>
            <w:r w:rsidRPr="002865E0">
              <w:rPr>
                <w:rFonts w:cs="Arial"/>
                <w:b/>
                <w:sz w:val="22"/>
                <w:szCs w:val="22"/>
              </w:rPr>
              <w:t>Total pasivos por impuesto diferido</w:t>
            </w:r>
          </w:p>
        </w:tc>
        <w:tc>
          <w:tcPr>
            <w:tcW w:w="1407" w:type="dxa"/>
          </w:tcPr>
          <w:p w14:paraId="61F2FE49" w14:textId="6D5BB475" w:rsidR="00572A90" w:rsidRPr="002865E0" w:rsidRDefault="00CE57E9" w:rsidP="00572A90">
            <w:pPr>
              <w:pStyle w:val="Textoindependiente"/>
              <w:jc w:val="center"/>
              <w:rPr>
                <w:rFonts w:cs="Arial"/>
                <w:b/>
                <w:sz w:val="22"/>
                <w:szCs w:val="22"/>
              </w:rPr>
            </w:pPr>
            <w:r>
              <w:rPr>
                <w:rFonts w:cs="Arial"/>
                <w:b/>
                <w:sz w:val="22"/>
                <w:szCs w:val="22"/>
              </w:rPr>
              <w:t>150.231,93</w:t>
            </w:r>
          </w:p>
        </w:tc>
        <w:tc>
          <w:tcPr>
            <w:tcW w:w="1713" w:type="dxa"/>
          </w:tcPr>
          <w:p w14:paraId="42121F0B" w14:textId="0B9A29D4" w:rsidR="00572A90" w:rsidRPr="002865E0" w:rsidRDefault="00B51C81" w:rsidP="00572A90">
            <w:pPr>
              <w:pStyle w:val="Textoindependiente"/>
              <w:jc w:val="center"/>
              <w:rPr>
                <w:rFonts w:cs="Arial"/>
                <w:b/>
                <w:sz w:val="22"/>
                <w:szCs w:val="22"/>
              </w:rPr>
            </w:pPr>
            <w:r>
              <w:rPr>
                <w:rFonts w:cs="Arial"/>
                <w:b/>
                <w:sz w:val="22"/>
                <w:szCs w:val="22"/>
              </w:rPr>
              <w:t>0,00</w:t>
            </w:r>
          </w:p>
        </w:tc>
      </w:tr>
    </w:tbl>
    <w:p w14:paraId="7AA463AD" w14:textId="77777777" w:rsidR="00853FBE" w:rsidRDefault="00853FBE" w:rsidP="00853FBE">
      <w:pPr>
        <w:pStyle w:val="Textoindependiente"/>
        <w:ind w:firstLine="720"/>
        <w:rPr>
          <w:sz w:val="22"/>
          <w:szCs w:val="22"/>
        </w:rPr>
      </w:pPr>
    </w:p>
    <w:p w14:paraId="710D62D8" w14:textId="6D9FF6A4" w:rsidR="00482AB6" w:rsidRDefault="00482AB6" w:rsidP="00853FBE">
      <w:pPr>
        <w:pStyle w:val="Textoindependiente"/>
        <w:ind w:firstLine="567"/>
        <w:rPr>
          <w:sz w:val="22"/>
          <w:szCs w:val="22"/>
        </w:rPr>
      </w:pPr>
      <w:r>
        <w:rPr>
          <w:sz w:val="22"/>
          <w:szCs w:val="22"/>
        </w:rPr>
        <w:t>El tipo impositivo general vigente (</w:t>
      </w:r>
      <w:r w:rsidR="00F53D33">
        <w:rPr>
          <w:sz w:val="22"/>
          <w:szCs w:val="22"/>
        </w:rPr>
        <w:t>2</w:t>
      </w:r>
      <w:r w:rsidR="00977050">
        <w:rPr>
          <w:sz w:val="22"/>
          <w:szCs w:val="22"/>
        </w:rPr>
        <w:t>5</w:t>
      </w:r>
      <w:r w:rsidR="00F53D33">
        <w:rPr>
          <w:sz w:val="22"/>
          <w:szCs w:val="22"/>
        </w:rPr>
        <w:t xml:space="preserve">%) </w:t>
      </w:r>
      <w:r w:rsidR="001830B7">
        <w:rPr>
          <w:sz w:val="22"/>
          <w:szCs w:val="22"/>
        </w:rPr>
        <w:t xml:space="preserve">no </w:t>
      </w:r>
      <w:r>
        <w:rPr>
          <w:sz w:val="22"/>
          <w:szCs w:val="22"/>
        </w:rPr>
        <w:t>ha variado respecto al año anterior</w:t>
      </w:r>
      <w:r w:rsidR="00F53D33">
        <w:rPr>
          <w:sz w:val="22"/>
          <w:szCs w:val="22"/>
        </w:rPr>
        <w:t>.</w:t>
      </w:r>
    </w:p>
    <w:p w14:paraId="424D9221" w14:textId="3E5A6450" w:rsidR="00853FBE" w:rsidRDefault="00853FBE" w:rsidP="00853FBE">
      <w:pPr>
        <w:pStyle w:val="Textoindependiente"/>
        <w:ind w:firstLine="567"/>
        <w:rPr>
          <w:sz w:val="22"/>
          <w:szCs w:val="22"/>
        </w:rPr>
      </w:pPr>
      <w:r>
        <w:rPr>
          <w:sz w:val="22"/>
          <w:szCs w:val="22"/>
        </w:rPr>
        <w:t xml:space="preserve">Los ejercicios abiertos a inspección comprenden los cuatro últimos ejercicios. Las declaraciones de impuestos no pueden considerarse definitivas hasta su prescripción o su aceptación por las autoridades fiscales y, con independencia de que la legislación fiscal es susceptible a interpretaciones. La Administradora estima que cualquier pasivo fiscal adicional que pudiera ponerse de manifiesto, como consecuencia de una eventual inspección, no tendrá un efecto significativo en las cuentas anuales tomadas en su conjunto. </w:t>
      </w:r>
    </w:p>
    <w:p w14:paraId="34EBE3D7" w14:textId="297CE8C4" w:rsidR="00853FBE" w:rsidRDefault="00853FBE" w:rsidP="00853FBE">
      <w:pPr>
        <w:pStyle w:val="Textoindependiente"/>
        <w:ind w:firstLine="567"/>
        <w:rPr>
          <w:sz w:val="22"/>
          <w:szCs w:val="22"/>
        </w:rPr>
      </w:pPr>
      <w:r w:rsidRPr="00CC5EBC">
        <w:rPr>
          <w:sz w:val="22"/>
          <w:szCs w:val="22"/>
        </w:rPr>
        <w:t xml:space="preserve">Al cierre del ejercicio se había pagado un importe de </w:t>
      </w:r>
      <w:r w:rsidR="00CE57E9">
        <w:rPr>
          <w:sz w:val="22"/>
          <w:szCs w:val="22"/>
        </w:rPr>
        <w:t>7.296,11</w:t>
      </w:r>
      <w:r w:rsidRPr="00CC5EBC">
        <w:rPr>
          <w:sz w:val="22"/>
          <w:szCs w:val="22"/>
        </w:rPr>
        <w:t xml:space="preserve"> euros en concepto de retenciones, por lo que una vez deducida esta cantidad de la cuota del Impuesto sobre Sociedades, resulta a devolver un importe de </w:t>
      </w:r>
      <w:r w:rsidR="00CE57E9">
        <w:rPr>
          <w:sz w:val="22"/>
          <w:szCs w:val="22"/>
        </w:rPr>
        <w:t>7.296,11</w:t>
      </w:r>
      <w:r w:rsidR="00CE57E9" w:rsidRPr="00CC5EBC">
        <w:rPr>
          <w:sz w:val="22"/>
          <w:szCs w:val="22"/>
        </w:rPr>
        <w:t xml:space="preserve"> </w:t>
      </w:r>
      <w:r w:rsidRPr="00CC5EBC">
        <w:rPr>
          <w:sz w:val="22"/>
          <w:szCs w:val="22"/>
        </w:rPr>
        <w:t>euros.</w:t>
      </w:r>
    </w:p>
    <w:p w14:paraId="37FA68C4" w14:textId="77777777" w:rsidR="00CE57E9" w:rsidRDefault="00CE57E9" w:rsidP="00853FBE">
      <w:pPr>
        <w:pStyle w:val="Textoindependiente"/>
        <w:ind w:firstLine="567"/>
        <w:rPr>
          <w:sz w:val="22"/>
          <w:szCs w:val="22"/>
        </w:rPr>
      </w:pPr>
    </w:p>
    <w:p w14:paraId="3A784DE2" w14:textId="77777777" w:rsidR="00853FBE" w:rsidRPr="009D3778" w:rsidRDefault="00853FBE" w:rsidP="00853FBE">
      <w:pPr>
        <w:pStyle w:val="Ttulo2"/>
        <w:ind w:left="0"/>
        <w:rPr>
          <w:bCs w:val="0"/>
          <w:iCs/>
          <w:sz w:val="22"/>
          <w:szCs w:val="22"/>
        </w:rPr>
      </w:pPr>
      <w:bookmarkStart w:id="88" w:name="_Toc106814609"/>
      <w:r>
        <w:rPr>
          <w:bCs w:val="0"/>
          <w:iCs/>
          <w:sz w:val="22"/>
          <w:szCs w:val="22"/>
        </w:rPr>
        <w:t>12.2</w:t>
      </w:r>
      <w:r w:rsidRPr="009D3778">
        <w:rPr>
          <w:bCs w:val="0"/>
          <w:iCs/>
          <w:sz w:val="22"/>
          <w:szCs w:val="22"/>
        </w:rPr>
        <w:tab/>
        <w:t>Saldos con administraciones públicas</w:t>
      </w:r>
      <w:bookmarkEnd w:id="88"/>
    </w:p>
    <w:p w14:paraId="34509EA9" w14:textId="77777777" w:rsidR="00853FBE" w:rsidRPr="009D3778" w:rsidRDefault="00853FBE" w:rsidP="00853FBE">
      <w:pPr>
        <w:pStyle w:val="Textoindependiente"/>
        <w:ind w:left="567"/>
        <w:rPr>
          <w:sz w:val="22"/>
          <w:szCs w:val="22"/>
        </w:rPr>
      </w:pPr>
      <w:r w:rsidRPr="009D3778">
        <w:rPr>
          <w:sz w:val="22"/>
          <w:szCs w:val="22"/>
        </w:rPr>
        <w:t>La composición de los saldos con Administraciones Públicas es:</w:t>
      </w:r>
    </w:p>
    <w:bookmarkStart w:id="89" w:name="_MON_1592062041"/>
    <w:bookmarkEnd w:id="89"/>
    <w:p w14:paraId="321FC901" w14:textId="6E98282C" w:rsidR="00961A55" w:rsidRDefault="00CE57E9" w:rsidP="008B5E86">
      <w:pPr>
        <w:pStyle w:val="Textoindependiente"/>
        <w:jc w:val="center"/>
        <w:rPr>
          <w:sz w:val="22"/>
          <w:szCs w:val="22"/>
        </w:rPr>
      </w:pPr>
      <w:r w:rsidRPr="00EA0F71">
        <w:rPr>
          <w:rFonts w:ascii="Calibri" w:hAnsi="Calibri"/>
          <w:sz w:val="18"/>
          <w:szCs w:val="18"/>
        </w:rPr>
        <w:object w:dxaOrig="6725" w:dyaOrig="2981" w14:anchorId="169FE626">
          <v:shape id="_x0000_i1050" type="#_x0000_t75" style="width:338.25pt;height:153pt" o:ole="">
            <v:imagedata r:id="rId60" o:title=""/>
          </v:shape>
          <o:OLEObject Type="Embed" ProgID="Excel.Sheet.8" ShapeID="_x0000_i1050" DrawAspect="Content" ObjectID="_1717427631" r:id="rId61"/>
        </w:object>
      </w:r>
    </w:p>
    <w:p w14:paraId="5E4A0356" w14:textId="580F01C1" w:rsidR="008B5E86" w:rsidRDefault="008B5E86" w:rsidP="008B5E86">
      <w:pPr>
        <w:pStyle w:val="Textoindependiente"/>
        <w:ind w:firstLine="567"/>
        <w:rPr>
          <w:sz w:val="22"/>
          <w:szCs w:val="22"/>
        </w:rPr>
      </w:pPr>
      <w:r>
        <w:rPr>
          <w:sz w:val="22"/>
          <w:szCs w:val="22"/>
        </w:rPr>
        <w:lastRenderedPageBreak/>
        <w:t>El importe neto a pagar a la seguridad social a 31 de diciembre de 2021</w:t>
      </w:r>
      <w:r w:rsidR="00F206BB">
        <w:rPr>
          <w:sz w:val="22"/>
          <w:szCs w:val="22"/>
        </w:rPr>
        <w:t>, que corresponde exclusivamente</w:t>
      </w:r>
      <w:r>
        <w:rPr>
          <w:sz w:val="22"/>
          <w:szCs w:val="22"/>
        </w:rPr>
        <w:t xml:space="preserve"> a las cuotas del mes de diciembre de 2021</w:t>
      </w:r>
      <w:r w:rsidR="00F206BB">
        <w:rPr>
          <w:sz w:val="22"/>
          <w:szCs w:val="22"/>
        </w:rPr>
        <w:t>,</w:t>
      </w:r>
      <w:r>
        <w:rPr>
          <w:sz w:val="22"/>
          <w:szCs w:val="22"/>
        </w:rPr>
        <w:t xml:space="preserve"> asciende a 84.016,67 €. El importe de las </w:t>
      </w:r>
      <w:r w:rsidR="00F206BB">
        <w:rPr>
          <w:sz w:val="22"/>
          <w:szCs w:val="22"/>
        </w:rPr>
        <w:t>exoneraciones</w:t>
      </w:r>
      <w:r>
        <w:rPr>
          <w:sz w:val="22"/>
          <w:szCs w:val="22"/>
        </w:rPr>
        <w:t xml:space="preserve"> </w:t>
      </w:r>
      <w:r w:rsidR="00F206BB">
        <w:rPr>
          <w:sz w:val="22"/>
          <w:szCs w:val="22"/>
        </w:rPr>
        <w:t xml:space="preserve">a la seguridad social </w:t>
      </w:r>
      <w:r>
        <w:rPr>
          <w:sz w:val="22"/>
          <w:szCs w:val="22"/>
        </w:rPr>
        <w:t xml:space="preserve">acumulado desde que se tramitaron los ERTES por COVID se ha contabilizado en </w:t>
      </w:r>
      <w:r w:rsidR="00F206BB">
        <w:rPr>
          <w:sz w:val="22"/>
          <w:szCs w:val="22"/>
        </w:rPr>
        <w:t>una cuenta de activo, cuyo saldo asciende a 705.594,37 €, y se mantendrá en dicha cuenta hasta que venza la obligación de mantenimiento de empleo asociado a los mencionados ERTES. El importe de la cuenta de pasivo “organismos de la Seguridad Social” asciende a 789.611,04 € y refleja la deuda que tendría que asumir la Sociedad en caso de que incumpliera este compromiso de mantenimiento de empleo mencionado vinculado a los ERTES</w:t>
      </w:r>
      <w:r w:rsidR="009024F7">
        <w:rPr>
          <w:sz w:val="22"/>
          <w:szCs w:val="22"/>
        </w:rPr>
        <w:t>.</w:t>
      </w:r>
      <w:r w:rsidR="00F206BB">
        <w:rPr>
          <w:sz w:val="22"/>
          <w:szCs w:val="22"/>
        </w:rPr>
        <w:t xml:space="preserve"> </w:t>
      </w:r>
      <w:r w:rsidR="009024F7">
        <w:rPr>
          <w:sz w:val="22"/>
          <w:szCs w:val="22"/>
        </w:rPr>
        <w:t xml:space="preserve">Al vencimiento de los plazos previstos para dar por cumplida esta obligación y, por tanto, en el momento de que no pueda ser exigible por la Seguridad Social la devolución de las exoneraciones en las cuotas disfrutadas, el importe de la cuenta “organismos de la Seguridad Social” incluido en el activo se compensará con el importe que figure en la cuenta “organismos de la Seguridad Social” del pasivo. </w:t>
      </w:r>
      <w:r w:rsidR="00F206BB">
        <w:rPr>
          <w:sz w:val="22"/>
          <w:szCs w:val="22"/>
        </w:rPr>
        <w:t xml:space="preserve"> </w:t>
      </w:r>
    </w:p>
    <w:p w14:paraId="0156FAF3" w14:textId="6548BA4B" w:rsidR="00853FBE" w:rsidRDefault="00853FBE" w:rsidP="00961A55">
      <w:pPr>
        <w:pStyle w:val="Ttulo1"/>
        <w:spacing w:before="360" w:after="120"/>
        <w:ind w:left="567" w:hanging="567"/>
        <w:jc w:val="both"/>
        <w:rPr>
          <w:sz w:val="22"/>
          <w:szCs w:val="22"/>
        </w:rPr>
      </w:pPr>
      <w:bookmarkStart w:id="90" w:name="_Toc106814610"/>
      <w:r>
        <w:rPr>
          <w:sz w:val="22"/>
          <w:szCs w:val="22"/>
        </w:rPr>
        <w:t xml:space="preserve">13. </w:t>
      </w:r>
      <w:r>
        <w:rPr>
          <w:sz w:val="22"/>
          <w:szCs w:val="22"/>
        </w:rPr>
        <w:tab/>
        <w:t>Ingresos y Gastos</w:t>
      </w:r>
      <w:bookmarkEnd w:id="90"/>
    </w:p>
    <w:p w14:paraId="20760C60" w14:textId="77777777" w:rsidR="00776625" w:rsidRPr="00776625" w:rsidRDefault="00776625" w:rsidP="00776625"/>
    <w:p w14:paraId="34585C9C" w14:textId="4B02559A" w:rsidR="000C5BA5" w:rsidRDefault="00853FBE" w:rsidP="00853FBE">
      <w:pPr>
        <w:pStyle w:val="Textoindependiente"/>
        <w:ind w:left="120" w:firstLine="447"/>
        <w:rPr>
          <w:sz w:val="22"/>
          <w:szCs w:val="22"/>
        </w:rPr>
      </w:pPr>
      <w:r>
        <w:rPr>
          <w:sz w:val="22"/>
          <w:szCs w:val="22"/>
        </w:rPr>
        <w:t>El detalle de la cuenta de pérdidas y ganancias adjunta es el siguiente:</w:t>
      </w:r>
    </w:p>
    <w:bookmarkStart w:id="91" w:name="_MON_1592062283"/>
    <w:bookmarkEnd w:id="91"/>
    <w:p w14:paraId="3CE59E45" w14:textId="75182C9D" w:rsidR="000C5BA5" w:rsidRDefault="00252E28" w:rsidP="00853FBE">
      <w:pPr>
        <w:pStyle w:val="Textoindependiente"/>
        <w:ind w:left="120" w:firstLine="447"/>
        <w:rPr>
          <w:sz w:val="22"/>
          <w:szCs w:val="22"/>
        </w:rPr>
      </w:pPr>
      <w:r w:rsidRPr="00EA0F71">
        <w:rPr>
          <w:rFonts w:ascii="Calibri" w:hAnsi="Calibri"/>
          <w:sz w:val="18"/>
          <w:szCs w:val="18"/>
        </w:rPr>
        <w:object w:dxaOrig="7894" w:dyaOrig="5598" w14:anchorId="4FF58F7D">
          <v:shape id="_x0000_i1051" type="#_x0000_t75" style="width:410.25pt;height:295.5pt" o:ole="">
            <v:imagedata r:id="rId62" o:title=""/>
          </v:shape>
          <o:OLEObject Type="Embed" ProgID="Excel.Sheet.8" ShapeID="_x0000_i1051" DrawAspect="Content" ObjectID="_1717427632" r:id="rId63"/>
        </w:object>
      </w:r>
    </w:p>
    <w:p w14:paraId="05990153" w14:textId="77777777" w:rsidR="00853FBE" w:rsidRDefault="00853FBE" w:rsidP="00853FBE">
      <w:pPr>
        <w:pStyle w:val="Ttulo1"/>
        <w:spacing w:before="360" w:after="120"/>
        <w:ind w:left="567" w:hanging="567"/>
        <w:jc w:val="both"/>
        <w:rPr>
          <w:sz w:val="22"/>
          <w:szCs w:val="22"/>
        </w:rPr>
      </w:pPr>
      <w:bookmarkStart w:id="92" w:name="_Toc106814611"/>
      <w:r>
        <w:rPr>
          <w:sz w:val="22"/>
          <w:szCs w:val="22"/>
        </w:rPr>
        <w:t xml:space="preserve">14. </w:t>
      </w:r>
      <w:r>
        <w:rPr>
          <w:sz w:val="22"/>
          <w:szCs w:val="22"/>
        </w:rPr>
        <w:tab/>
        <w:t>Provisiones y contingencias</w:t>
      </w:r>
      <w:bookmarkEnd w:id="92"/>
    </w:p>
    <w:p w14:paraId="74E13556" w14:textId="77777777" w:rsidR="00776625" w:rsidRPr="00776625" w:rsidRDefault="00776625" w:rsidP="00776625"/>
    <w:p w14:paraId="480415E9" w14:textId="02F0B912" w:rsidR="00853FBE" w:rsidRDefault="00853FBE" w:rsidP="00853FBE">
      <w:pPr>
        <w:pStyle w:val="Textoindependiente"/>
        <w:ind w:firstLine="567"/>
        <w:rPr>
          <w:sz w:val="22"/>
          <w:szCs w:val="22"/>
        </w:rPr>
      </w:pPr>
      <w:r>
        <w:rPr>
          <w:sz w:val="22"/>
          <w:szCs w:val="22"/>
        </w:rPr>
        <w:t xml:space="preserve">El análisis del movimiento de cada partida del balance durante el ejercicio </w:t>
      </w:r>
      <w:r w:rsidR="000253BC">
        <w:rPr>
          <w:sz w:val="22"/>
          <w:szCs w:val="22"/>
        </w:rPr>
        <w:t>2021</w:t>
      </w:r>
      <w:r>
        <w:rPr>
          <w:sz w:val="22"/>
          <w:szCs w:val="22"/>
        </w:rPr>
        <w:t xml:space="preserve"> es el siguiente:</w:t>
      </w:r>
    </w:p>
    <w:bookmarkStart w:id="93" w:name="_MON_1592062542"/>
    <w:bookmarkEnd w:id="93"/>
    <w:p w14:paraId="5FC96974" w14:textId="5A8F684C" w:rsidR="00853FBE" w:rsidRDefault="00252E28" w:rsidP="00853FBE">
      <w:pPr>
        <w:pStyle w:val="Textoindependiente"/>
        <w:ind w:firstLine="567"/>
        <w:rPr>
          <w:sz w:val="22"/>
          <w:szCs w:val="22"/>
        </w:rPr>
      </w:pPr>
      <w:r w:rsidRPr="00EA0F71">
        <w:rPr>
          <w:rFonts w:ascii="Calibri" w:hAnsi="Calibri"/>
          <w:sz w:val="18"/>
          <w:szCs w:val="18"/>
        </w:rPr>
        <w:object w:dxaOrig="6706" w:dyaOrig="4153" w14:anchorId="49928A9E">
          <v:shape id="_x0000_i1052" type="#_x0000_t75" style="width:352.5pt;height:223.5pt" o:ole="">
            <v:imagedata r:id="rId64" o:title=""/>
          </v:shape>
          <o:OLEObject Type="Embed" ProgID="Excel.Sheet.8" ShapeID="_x0000_i1052" DrawAspect="Content" ObjectID="_1717427633" r:id="rId65"/>
        </w:object>
      </w:r>
    </w:p>
    <w:p w14:paraId="4CDF70DD" w14:textId="1FF6E567" w:rsidR="00853FBE" w:rsidRDefault="00853FBE" w:rsidP="00853FBE">
      <w:pPr>
        <w:pStyle w:val="Textoindependiente"/>
        <w:ind w:firstLine="567"/>
        <w:rPr>
          <w:sz w:val="22"/>
          <w:szCs w:val="22"/>
        </w:rPr>
      </w:pPr>
    </w:p>
    <w:p w14:paraId="4C672086" w14:textId="77777777" w:rsidR="00A63E53" w:rsidRDefault="00A63E53" w:rsidP="00A63E53">
      <w:pPr>
        <w:pStyle w:val="Textoindependiente"/>
        <w:ind w:firstLine="567"/>
        <w:rPr>
          <w:sz w:val="22"/>
          <w:szCs w:val="22"/>
        </w:rPr>
      </w:pPr>
      <w:r>
        <w:rPr>
          <w:sz w:val="22"/>
          <w:szCs w:val="22"/>
        </w:rPr>
        <w:t xml:space="preserve">El artículo 35 del convenio de hostelería de la provincia de Santa Cruz de Tenerife establece que los empleados que en el momento de su jubilación lleven trabajando en la empresa 16 años o más, disfrutarán de un premio por vinculación que consistirá en el pago de tres a seis mensualidades, tomando como referencia la base de cotización. </w:t>
      </w:r>
    </w:p>
    <w:p w14:paraId="2B57A3F3" w14:textId="77777777" w:rsidR="00A63E53" w:rsidRDefault="00A63E53" w:rsidP="00A63E53">
      <w:pPr>
        <w:pStyle w:val="Textoindependiente"/>
        <w:ind w:firstLine="567"/>
        <w:rPr>
          <w:sz w:val="22"/>
          <w:szCs w:val="22"/>
        </w:rPr>
      </w:pPr>
      <w:r w:rsidRPr="00A155CF">
        <w:rPr>
          <w:sz w:val="22"/>
          <w:szCs w:val="22"/>
        </w:rPr>
        <w:t xml:space="preserve">Al calcular la provisión se ha tenido en cuenta la base de cotización mensual de cada empleado con 16 años de antigüedad o más, asignándole tres mensualidades si se sitúa en el tramo de 16 a 18 años de antigüedad, cuatro si está entre 19 y 21, cinco si tiene entre 21 y 25 y seis si tiene más de 25 años de antigüedad. </w:t>
      </w:r>
    </w:p>
    <w:p w14:paraId="098BD76D" w14:textId="77777777" w:rsidR="00853FBE" w:rsidRDefault="00853FBE" w:rsidP="00853FBE">
      <w:pPr>
        <w:pStyle w:val="Ttulo1"/>
        <w:spacing w:before="360" w:after="120"/>
        <w:ind w:left="567" w:hanging="567"/>
        <w:jc w:val="both"/>
        <w:rPr>
          <w:sz w:val="22"/>
          <w:szCs w:val="22"/>
        </w:rPr>
      </w:pPr>
      <w:bookmarkStart w:id="94" w:name="_Hlk51165251"/>
      <w:bookmarkStart w:id="95" w:name="_Toc106814612"/>
      <w:r>
        <w:rPr>
          <w:sz w:val="22"/>
          <w:szCs w:val="22"/>
        </w:rPr>
        <w:t xml:space="preserve">15. </w:t>
      </w:r>
      <w:r>
        <w:rPr>
          <w:sz w:val="22"/>
          <w:szCs w:val="22"/>
        </w:rPr>
        <w:tab/>
        <w:t>Información sobre medio ambiente</w:t>
      </w:r>
      <w:bookmarkEnd w:id="95"/>
    </w:p>
    <w:p w14:paraId="54D419E2" w14:textId="77777777" w:rsidR="00853FBE" w:rsidRDefault="00853FBE" w:rsidP="00853FBE">
      <w:pPr>
        <w:pStyle w:val="Textoindependiente"/>
        <w:ind w:left="567"/>
        <w:rPr>
          <w:sz w:val="22"/>
          <w:szCs w:val="22"/>
        </w:rPr>
      </w:pPr>
    </w:p>
    <w:p w14:paraId="67F1D029" w14:textId="77777777" w:rsidR="00853FBE" w:rsidRDefault="00853FBE" w:rsidP="00853FBE">
      <w:pPr>
        <w:pStyle w:val="Textoindependiente"/>
        <w:ind w:firstLine="567"/>
        <w:rPr>
          <w:sz w:val="22"/>
          <w:szCs w:val="22"/>
        </w:rPr>
      </w:pPr>
      <w:r>
        <w:rPr>
          <w:sz w:val="22"/>
          <w:szCs w:val="22"/>
        </w:rPr>
        <w:t>Dada la actividad a la que se dedica la sociedad, la misma no tiene responsabilidades, gastos, activos, ni provisiones y contingencias de naturaleza medioambiental que pudieran ser significativos en relación con el patrimonio, la situación financiera y los resultados de la misma. Por este motivo no se incluyen desgloses específicos en la presente memoria respecto a información de cuestiones medioambientales.</w:t>
      </w:r>
    </w:p>
    <w:p w14:paraId="42CBA5A9" w14:textId="5BAEA7B8" w:rsidR="00853FBE" w:rsidRDefault="00853FBE" w:rsidP="00853FBE">
      <w:pPr>
        <w:pStyle w:val="Textoindependiente"/>
        <w:tabs>
          <w:tab w:val="left" w:pos="-720"/>
        </w:tabs>
        <w:rPr>
          <w:sz w:val="22"/>
          <w:szCs w:val="22"/>
        </w:rPr>
      </w:pPr>
      <w:r>
        <w:tab/>
      </w:r>
      <w:r w:rsidRPr="003C6490">
        <w:rPr>
          <w:sz w:val="22"/>
          <w:szCs w:val="22"/>
        </w:rPr>
        <w:t xml:space="preserve">No obstante, durante los últimos años se han realizado inversiones en materia energética que contribuyen a la conservación y mantenimiento del medio ambiente, como la instalación de </w:t>
      </w:r>
      <w:r w:rsidR="000369A4">
        <w:rPr>
          <w:sz w:val="22"/>
          <w:szCs w:val="22"/>
        </w:rPr>
        <w:t xml:space="preserve">una caldera de biomasa para calentar el agua a niveles muy bajos de contaminación ambiental reduciendo el consumo de combustibles </w:t>
      </w:r>
      <w:r w:rsidR="00340329">
        <w:rPr>
          <w:sz w:val="22"/>
          <w:szCs w:val="22"/>
        </w:rPr>
        <w:t xml:space="preserve">fósiles </w:t>
      </w:r>
      <w:r w:rsidR="00340329" w:rsidRPr="003C6490">
        <w:rPr>
          <w:sz w:val="22"/>
          <w:szCs w:val="22"/>
        </w:rPr>
        <w:t>o</w:t>
      </w:r>
      <w:r w:rsidRPr="003C6490">
        <w:rPr>
          <w:sz w:val="22"/>
          <w:szCs w:val="22"/>
        </w:rPr>
        <w:t xml:space="preserve"> la instalación</w:t>
      </w:r>
      <w:r>
        <w:rPr>
          <w:sz w:val="22"/>
          <w:szCs w:val="22"/>
        </w:rPr>
        <w:t xml:space="preserve"> de electro bombas que eviten pé</w:t>
      </w:r>
      <w:r w:rsidRPr="003C6490">
        <w:rPr>
          <w:sz w:val="22"/>
          <w:szCs w:val="22"/>
        </w:rPr>
        <w:t xml:space="preserve">rdidas de agua innecesarias. </w:t>
      </w:r>
      <w:r>
        <w:rPr>
          <w:sz w:val="22"/>
          <w:szCs w:val="22"/>
        </w:rPr>
        <w:t>Asimismo, se ha contratado</w:t>
      </w:r>
      <w:r w:rsidRPr="003C6490">
        <w:rPr>
          <w:sz w:val="22"/>
          <w:szCs w:val="22"/>
        </w:rPr>
        <w:t xml:space="preserve"> la recogida de los aceites usados </w:t>
      </w:r>
      <w:r>
        <w:rPr>
          <w:sz w:val="22"/>
          <w:szCs w:val="22"/>
        </w:rPr>
        <w:t xml:space="preserve">para </w:t>
      </w:r>
      <w:r w:rsidRPr="003C6490">
        <w:rPr>
          <w:sz w:val="22"/>
          <w:szCs w:val="22"/>
        </w:rPr>
        <w:t>la elaboración de la comida</w:t>
      </w:r>
      <w:r>
        <w:rPr>
          <w:sz w:val="22"/>
          <w:szCs w:val="22"/>
        </w:rPr>
        <w:t xml:space="preserve"> con una empresa especializada</w:t>
      </w:r>
      <w:r w:rsidRPr="003C6490">
        <w:rPr>
          <w:sz w:val="22"/>
          <w:szCs w:val="22"/>
        </w:rPr>
        <w:t>, para que sean depositados en lugares habilitados para ello</w:t>
      </w:r>
      <w:r>
        <w:rPr>
          <w:sz w:val="22"/>
          <w:szCs w:val="22"/>
        </w:rPr>
        <w:t xml:space="preserve">. </w:t>
      </w:r>
    </w:p>
    <w:p w14:paraId="199F2C66" w14:textId="728A6B03" w:rsidR="00853FBE" w:rsidRDefault="00853FBE" w:rsidP="00853FBE">
      <w:pPr>
        <w:pStyle w:val="Textoindependiente"/>
        <w:tabs>
          <w:tab w:val="left" w:pos="-720"/>
        </w:tabs>
        <w:rPr>
          <w:sz w:val="22"/>
          <w:szCs w:val="22"/>
        </w:rPr>
      </w:pPr>
      <w:r>
        <w:rPr>
          <w:sz w:val="22"/>
          <w:szCs w:val="22"/>
        </w:rPr>
        <w:tab/>
        <w:t xml:space="preserve">La política de la empresa es adquirir materiales de reposición y productos de limpieza que no contengan productos químicos. </w:t>
      </w:r>
      <w:r w:rsidR="000369A4">
        <w:rPr>
          <w:sz w:val="22"/>
          <w:szCs w:val="22"/>
        </w:rPr>
        <w:t>Asimismo</w:t>
      </w:r>
      <w:r>
        <w:rPr>
          <w:sz w:val="22"/>
          <w:szCs w:val="22"/>
        </w:rPr>
        <w:t xml:space="preserve">, en el restaurante del Hotel </w:t>
      </w:r>
      <w:proofErr w:type="spellStart"/>
      <w:r>
        <w:rPr>
          <w:sz w:val="22"/>
          <w:szCs w:val="22"/>
        </w:rPr>
        <w:t>Vallemar</w:t>
      </w:r>
      <w:proofErr w:type="spellEnd"/>
      <w:r>
        <w:rPr>
          <w:sz w:val="22"/>
          <w:szCs w:val="22"/>
        </w:rPr>
        <w:t xml:space="preserve"> y Hotel Laguna </w:t>
      </w:r>
      <w:proofErr w:type="spellStart"/>
      <w:r>
        <w:rPr>
          <w:sz w:val="22"/>
          <w:szCs w:val="22"/>
        </w:rPr>
        <w:t>Nivaria</w:t>
      </w:r>
      <w:proofErr w:type="spellEnd"/>
      <w:r>
        <w:rPr>
          <w:sz w:val="22"/>
          <w:szCs w:val="22"/>
        </w:rPr>
        <w:t xml:space="preserve"> se sirven algunas comidas elaboradas con productos ecológicos. </w:t>
      </w:r>
    </w:p>
    <w:p w14:paraId="50B2E918" w14:textId="77777777" w:rsidR="00853FBE" w:rsidRDefault="00853FBE" w:rsidP="00853FBE">
      <w:pPr>
        <w:pStyle w:val="Ttulo1"/>
        <w:spacing w:before="360" w:after="120"/>
        <w:ind w:left="567" w:hanging="567"/>
        <w:jc w:val="both"/>
        <w:rPr>
          <w:sz w:val="22"/>
          <w:szCs w:val="22"/>
        </w:rPr>
      </w:pPr>
      <w:bookmarkStart w:id="96" w:name="_Toc106814613"/>
      <w:bookmarkEnd w:id="94"/>
      <w:r>
        <w:rPr>
          <w:sz w:val="22"/>
          <w:szCs w:val="22"/>
        </w:rPr>
        <w:lastRenderedPageBreak/>
        <w:t xml:space="preserve">16. </w:t>
      </w:r>
      <w:r>
        <w:rPr>
          <w:sz w:val="22"/>
          <w:szCs w:val="22"/>
        </w:rPr>
        <w:tab/>
        <w:t>Retribuciones a largo plazo al personal</w:t>
      </w:r>
      <w:bookmarkEnd w:id="96"/>
    </w:p>
    <w:p w14:paraId="7AA5226B" w14:textId="77777777" w:rsidR="00853FBE" w:rsidRDefault="00853FBE" w:rsidP="00853FBE">
      <w:pPr>
        <w:pStyle w:val="Textoindependiente"/>
        <w:ind w:left="-480"/>
        <w:rPr>
          <w:sz w:val="22"/>
          <w:szCs w:val="22"/>
        </w:rPr>
      </w:pPr>
    </w:p>
    <w:p w14:paraId="2C2667DF" w14:textId="77777777" w:rsidR="00853FBE" w:rsidRDefault="00853FBE" w:rsidP="00853FBE">
      <w:pPr>
        <w:pStyle w:val="Textoindependiente"/>
        <w:ind w:firstLine="567"/>
        <w:rPr>
          <w:sz w:val="22"/>
          <w:szCs w:val="22"/>
        </w:rPr>
      </w:pPr>
      <w:r>
        <w:rPr>
          <w:sz w:val="22"/>
          <w:szCs w:val="22"/>
        </w:rPr>
        <w:t>La Sociedad, tal y como se comenta en la Nota 14, otorga retribuciones a largo plazo al personal de prestación definida, con la siguiente descripción: Premio por vinculación en la empresa en el momento de la jubilación a partir de una antigüedad de 16 años, según el artículo 35 del Convenio de Hostelería de la provincia de Santa Cruz de Tenerife, cuyo importe a satisfacer en dicho momento es el equivalente desde 3 a 6 mensualidades del salario.</w:t>
      </w:r>
    </w:p>
    <w:p w14:paraId="32E7B6AB" w14:textId="2212BA7B" w:rsidR="00853FBE" w:rsidRDefault="00853FBE" w:rsidP="00853FBE">
      <w:pPr>
        <w:pStyle w:val="Textoindependiente"/>
        <w:ind w:firstLine="567"/>
        <w:rPr>
          <w:sz w:val="22"/>
          <w:szCs w:val="22"/>
        </w:rPr>
      </w:pPr>
      <w:r>
        <w:rPr>
          <w:sz w:val="22"/>
          <w:szCs w:val="22"/>
        </w:rPr>
        <w:t>Los movimientos de las provisiones por retribuciones a largo plazo al personal de prestación definida están detallados en el siguiente cuadro:</w:t>
      </w:r>
    </w:p>
    <w:bookmarkStart w:id="97" w:name="_Toc453865046"/>
    <w:bookmarkEnd w:id="97"/>
    <w:bookmarkStart w:id="98" w:name="_MON_1592063384"/>
    <w:bookmarkEnd w:id="98"/>
    <w:p w14:paraId="7E5779D6" w14:textId="677DD57F" w:rsidR="00853FBE" w:rsidRDefault="00955D27" w:rsidP="00853FBE">
      <w:pPr>
        <w:pStyle w:val="Textoindependiente"/>
        <w:ind w:left="-480"/>
        <w:rPr>
          <w:sz w:val="22"/>
          <w:szCs w:val="22"/>
        </w:rPr>
      </w:pPr>
      <w:r w:rsidRPr="00EA0F71">
        <w:rPr>
          <w:rFonts w:ascii="Calibri" w:hAnsi="Calibri"/>
          <w:sz w:val="18"/>
          <w:szCs w:val="18"/>
        </w:rPr>
        <w:object w:dxaOrig="9299" w:dyaOrig="2809" w14:anchorId="2053E5E2">
          <v:shape id="_x0000_i1053" type="#_x0000_t75" style="width:446.25pt;height:2in" o:ole="">
            <v:imagedata r:id="rId66" o:title=""/>
          </v:shape>
          <o:OLEObject Type="Embed" ProgID="Excel.Sheet.8" ShapeID="_x0000_i1053" DrawAspect="Content" ObjectID="_1717427634" r:id="rId67"/>
        </w:object>
      </w:r>
    </w:p>
    <w:p w14:paraId="7CE9FE06" w14:textId="77777777" w:rsidR="00853FBE" w:rsidRDefault="00853FBE" w:rsidP="00853FBE">
      <w:pPr>
        <w:pStyle w:val="Ttulo1"/>
        <w:spacing w:before="360" w:after="120"/>
        <w:ind w:left="567" w:hanging="567"/>
        <w:jc w:val="both"/>
        <w:rPr>
          <w:sz w:val="22"/>
          <w:szCs w:val="22"/>
        </w:rPr>
      </w:pPr>
      <w:bookmarkStart w:id="99" w:name="_Toc106814614"/>
      <w:r>
        <w:rPr>
          <w:sz w:val="22"/>
          <w:szCs w:val="22"/>
        </w:rPr>
        <w:t xml:space="preserve">17. </w:t>
      </w:r>
      <w:r>
        <w:rPr>
          <w:sz w:val="22"/>
          <w:szCs w:val="22"/>
        </w:rPr>
        <w:tab/>
        <w:t>Transacciones con pagos basados en instrumentos de patrimonio</w:t>
      </w:r>
      <w:bookmarkEnd w:id="99"/>
    </w:p>
    <w:p w14:paraId="37C332FA" w14:textId="77777777" w:rsidR="00853FBE" w:rsidRDefault="00853FBE" w:rsidP="00853FBE">
      <w:pPr>
        <w:pStyle w:val="Textoindependiente"/>
        <w:ind w:left="-480"/>
        <w:rPr>
          <w:sz w:val="22"/>
          <w:szCs w:val="22"/>
        </w:rPr>
      </w:pPr>
      <w:r>
        <w:rPr>
          <w:sz w:val="22"/>
          <w:szCs w:val="22"/>
        </w:rPr>
        <w:tab/>
      </w:r>
      <w:r>
        <w:rPr>
          <w:sz w:val="22"/>
          <w:szCs w:val="22"/>
        </w:rPr>
        <w:tab/>
        <w:t>Sin contenido.</w:t>
      </w:r>
    </w:p>
    <w:p w14:paraId="568771F7" w14:textId="77777777" w:rsidR="00853FBE" w:rsidRDefault="00853FBE" w:rsidP="00853FBE">
      <w:pPr>
        <w:pStyle w:val="Ttulo1"/>
        <w:spacing w:before="360" w:after="120"/>
        <w:ind w:left="567" w:hanging="567"/>
        <w:jc w:val="both"/>
        <w:rPr>
          <w:sz w:val="22"/>
          <w:szCs w:val="22"/>
        </w:rPr>
      </w:pPr>
      <w:bookmarkStart w:id="100" w:name="_Toc106814615"/>
      <w:r>
        <w:rPr>
          <w:sz w:val="22"/>
          <w:szCs w:val="22"/>
        </w:rPr>
        <w:t xml:space="preserve">18. </w:t>
      </w:r>
      <w:r>
        <w:rPr>
          <w:sz w:val="22"/>
          <w:szCs w:val="22"/>
        </w:rPr>
        <w:tab/>
      </w:r>
      <w:r w:rsidRPr="00746FE9">
        <w:rPr>
          <w:sz w:val="22"/>
          <w:szCs w:val="22"/>
        </w:rPr>
        <w:t>Subvenciones, donaciones y legados</w:t>
      </w:r>
      <w:bookmarkEnd w:id="100"/>
    </w:p>
    <w:p w14:paraId="252C0612" w14:textId="77777777" w:rsidR="00853FBE" w:rsidRDefault="00853FBE" w:rsidP="00853FBE">
      <w:pPr>
        <w:pStyle w:val="Textoindependiente"/>
        <w:ind w:firstLine="567"/>
        <w:rPr>
          <w:sz w:val="22"/>
          <w:szCs w:val="22"/>
        </w:rPr>
      </w:pPr>
    </w:p>
    <w:p w14:paraId="24F1A540" w14:textId="77777777" w:rsidR="00853FBE" w:rsidRDefault="00853FBE" w:rsidP="00853FBE">
      <w:pPr>
        <w:pStyle w:val="Textoindependiente"/>
        <w:ind w:firstLine="567"/>
        <w:rPr>
          <w:sz w:val="22"/>
          <w:szCs w:val="22"/>
        </w:rPr>
      </w:pPr>
      <w:r>
        <w:rPr>
          <w:sz w:val="22"/>
          <w:szCs w:val="22"/>
        </w:rPr>
        <w:t>El importe y características de las subvenciones, donaciones y legados recibidos que aparecen en el balance, así como los imputados en la cuenta de pérdidas y ganancias se desglosan en el siguiente cuadro:</w:t>
      </w:r>
    </w:p>
    <w:bookmarkStart w:id="101" w:name="_MON_1592063474"/>
    <w:bookmarkEnd w:id="101"/>
    <w:p w14:paraId="655D5161" w14:textId="678353CF" w:rsidR="00853FBE" w:rsidRDefault="00955D27" w:rsidP="00853FBE">
      <w:pPr>
        <w:pStyle w:val="Textoindependiente"/>
        <w:ind w:left="-480"/>
        <w:rPr>
          <w:sz w:val="22"/>
          <w:szCs w:val="22"/>
        </w:rPr>
      </w:pPr>
      <w:r w:rsidRPr="00EA0F71">
        <w:rPr>
          <w:rFonts w:ascii="Calibri" w:hAnsi="Calibri"/>
          <w:sz w:val="18"/>
          <w:szCs w:val="18"/>
        </w:rPr>
        <w:object w:dxaOrig="7849" w:dyaOrig="1414" w14:anchorId="7EEB1FAE">
          <v:shape id="_x0000_i1054" type="#_x0000_t75" style="width:410.25pt;height:1in" o:ole="">
            <v:imagedata r:id="rId68" o:title=""/>
          </v:shape>
          <o:OLEObject Type="Embed" ProgID="Excel.Sheet.8" ShapeID="_x0000_i1054" DrawAspect="Content" ObjectID="_1717427635" r:id="rId69"/>
        </w:object>
      </w:r>
    </w:p>
    <w:p w14:paraId="4807DADE" w14:textId="77777777" w:rsidR="00853FBE" w:rsidRDefault="00853FBE" w:rsidP="00853FBE">
      <w:pPr>
        <w:pStyle w:val="Textoindependiente"/>
        <w:ind w:firstLine="708"/>
        <w:rPr>
          <w:sz w:val="22"/>
          <w:szCs w:val="22"/>
        </w:rPr>
      </w:pPr>
      <w:r>
        <w:rPr>
          <w:sz w:val="22"/>
          <w:szCs w:val="22"/>
        </w:rPr>
        <w:t xml:space="preserve">El análisis del movimiento del contenido de la </w:t>
      </w:r>
      <w:proofErr w:type="spellStart"/>
      <w:r>
        <w:rPr>
          <w:sz w:val="22"/>
          <w:szCs w:val="22"/>
        </w:rPr>
        <w:t>subagrupación</w:t>
      </w:r>
      <w:proofErr w:type="spellEnd"/>
      <w:r>
        <w:rPr>
          <w:sz w:val="22"/>
          <w:szCs w:val="22"/>
        </w:rPr>
        <w:t xml:space="preserve"> correspondiente del balance, indicando el saldo inicial y final así como los aumentos y disminuciones se desglosa en el siguiente cuadro:</w:t>
      </w:r>
    </w:p>
    <w:bookmarkStart w:id="102" w:name="_MON_1592063553"/>
    <w:bookmarkEnd w:id="102"/>
    <w:p w14:paraId="70644E50" w14:textId="123587C5" w:rsidR="00853FBE" w:rsidRDefault="00955D27" w:rsidP="00853FBE">
      <w:pPr>
        <w:pStyle w:val="Textoindependiente"/>
        <w:ind w:left="-480"/>
        <w:rPr>
          <w:sz w:val="22"/>
          <w:szCs w:val="22"/>
        </w:rPr>
      </w:pPr>
      <w:r w:rsidRPr="00EA0F71">
        <w:rPr>
          <w:rFonts w:ascii="Calibri" w:hAnsi="Calibri"/>
          <w:sz w:val="18"/>
          <w:szCs w:val="18"/>
        </w:rPr>
        <w:object w:dxaOrig="8700" w:dyaOrig="2996" w14:anchorId="65A45E7E">
          <v:shape id="_x0000_i1055" type="#_x0000_t75" style="width:453.75pt;height:158.25pt" o:ole="">
            <v:imagedata r:id="rId70" o:title=""/>
          </v:shape>
          <o:OLEObject Type="Embed" ProgID="Excel.Sheet.8" ShapeID="_x0000_i1055" DrawAspect="Content" ObjectID="_1717427636" r:id="rId71"/>
        </w:object>
      </w:r>
    </w:p>
    <w:p w14:paraId="43320895" w14:textId="77777777" w:rsidR="00F373E3" w:rsidRDefault="00853FBE" w:rsidP="00F373E3">
      <w:pPr>
        <w:pStyle w:val="Textoindependiente"/>
        <w:rPr>
          <w:sz w:val="22"/>
          <w:szCs w:val="22"/>
        </w:rPr>
      </w:pPr>
      <w:r>
        <w:rPr>
          <w:sz w:val="22"/>
          <w:szCs w:val="22"/>
        </w:rPr>
        <w:tab/>
      </w:r>
    </w:p>
    <w:p w14:paraId="531D40D5" w14:textId="1B465516" w:rsidR="00853FBE" w:rsidRDefault="00853FBE" w:rsidP="00F373E3">
      <w:pPr>
        <w:pStyle w:val="Textoindependiente"/>
        <w:ind w:firstLine="708"/>
        <w:rPr>
          <w:sz w:val="22"/>
          <w:szCs w:val="22"/>
        </w:rPr>
      </w:pPr>
      <w:r>
        <w:rPr>
          <w:sz w:val="22"/>
          <w:szCs w:val="22"/>
        </w:rPr>
        <w:t xml:space="preserve">Las subvenciones recibidas en el ejercicio </w:t>
      </w:r>
      <w:r w:rsidR="000253BC">
        <w:rPr>
          <w:sz w:val="22"/>
          <w:szCs w:val="22"/>
        </w:rPr>
        <w:t>2021</w:t>
      </w:r>
      <w:r>
        <w:rPr>
          <w:sz w:val="22"/>
          <w:szCs w:val="22"/>
        </w:rPr>
        <w:t xml:space="preserve"> han sido las siguientes: </w:t>
      </w:r>
    </w:p>
    <w:p w14:paraId="3A694008" w14:textId="679FABC1" w:rsidR="007106BA" w:rsidRDefault="00853FBE" w:rsidP="00C63681">
      <w:pPr>
        <w:pStyle w:val="Textoindependiente"/>
        <w:numPr>
          <w:ilvl w:val="0"/>
          <w:numId w:val="43"/>
        </w:numPr>
        <w:rPr>
          <w:sz w:val="22"/>
          <w:szCs w:val="22"/>
        </w:rPr>
      </w:pPr>
      <w:r>
        <w:rPr>
          <w:sz w:val="22"/>
          <w:szCs w:val="22"/>
        </w:rPr>
        <w:t xml:space="preserve">Subvención de explotación del plátano, por </w:t>
      </w:r>
      <w:r w:rsidR="00955D27">
        <w:rPr>
          <w:sz w:val="22"/>
          <w:szCs w:val="22"/>
        </w:rPr>
        <w:t>41.474,35</w:t>
      </w:r>
      <w:r>
        <w:rPr>
          <w:sz w:val="22"/>
          <w:szCs w:val="22"/>
        </w:rPr>
        <w:t xml:space="preserve"> euros, concedida por la Consejería de Agricultura, Ganadería, Pesca y Alimentación del Gobierno de Canarias. </w:t>
      </w:r>
    </w:p>
    <w:p w14:paraId="229E9AA1" w14:textId="4C87DB73" w:rsidR="00C63681" w:rsidRDefault="008B5F92" w:rsidP="000253BC">
      <w:pPr>
        <w:pStyle w:val="Textoindependiente"/>
        <w:numPr>
          <w:ilvl w:val="0"/>
          <w:numId w:val="43"/>
        </w:numPr>
        <w:rPr>
          <w:sz w:val="22"/>
          <w:szCs w:val="22"/>
        </w:rPr>
      </w:pPr>
      <w:r w:rsidRPr="008B5F92">
        <w:rPr>
          <w:sz w:val="22"/>
          <w:szCs w:val="22"/>
        </w:rPr>
        <w:t xml:space="preserve">Exoneración de cuotas de seguridad social por haberse acogido a expedientes de regulación temporal de empleo para paliar los efectos del COVID 19. El importe de las cuotas exoneradas en </w:t>
      </w:r>
      <w:r w:rsidR="000253BC">
        <w:rPr>
          <w:sz w:val="22"/>
          <w:szCs w:val="22"/>
        </w:rPr>
        <w:t>2021</w:t>
      </w:r>
      <w:r w:rsidRPr="008B5F92">
        <w:rPr>
          <w:sz w:val="22"/>
          <w:szCs w:val="22"/>
        </w:rPr>
        <w:t xml:space="preserve"> ascendió a </w:t>
      </w:r>
      <w:r w:rsidR="00955D27">
        <w:rPr>
          <w:sz w:val="22"/>
          <w:szCs w:val="22"/>
        </w:rPr>
        <w:t>395.475,21</w:t>
      </w:r>
      <w:r w:rsidRPr="008B5F92">
        <w:rPr>
          <w:sz w:val="22"/>
          <w:szCs w:val="22"/>
        </w:rPr>
        <w:t xml:space="preserve"> €. </w:t>
      </w:r>
    </w:p>
    <w:p w14:paraId="12FAB242" w14:textId="57BE9E33" w:rsidR="00955D27" w:rsidRDefault="00955D27" w:rsidP="00A346E5">
      <w:pPr>
        <w:pStyle w:val="Textoindependiente"/>
        <w:numPr>
          <w:ilvl w:val="0"/>
          <w:numId w:val="43"/>
        </w:numPr>
        <w:rPr>
          <w:sz w:val="22"/>
          <w:szCs w:val="22"/>
        </w:rPr>
      </w:pPr>
      <w:r>
        <w:rPr>
          <w:sz w:val="22"/>
          <w:szCs w:val="22"/>
        </w:rPr>
        <w:t xml:space="preserve">Subvención </w:t>
      </w:r>
      <w:r w:rsidR="00A346E5">
        <w:rPr>
          <w:sz w:val="22"/>
          <w:szCs w:val="22"/>
        </w:rPr>
        <w:t xml:space="preserve">de Línea </w:t>
      </w:r>
      <w:proofErr w:type="spellStart"/>
      <w:r w:rsidR="00A346E5">
        <w:rPr>
          <w:sz w:val="22"/>
          <w:szCs w:val="22"/>
        </w:rPr>
        <w:t>Covid</w:t>
      </w:r>
      <w:proofErr w:type="spellEnd"/>
      <w:r w:rsidR="00A346E5">
        <w:rPr>
          <w:sz w:val="22"/>
          <w:szCs w:val="22"/>
        </w:rPr>
        <w:t xml:space="preserve"> de ayudas directas a personas autónomas y empresas prevista en el Título I del Real Decreto-Ley 5/2021, de 12 de marzo, </w:t>
      </w:r>
      <w:r w:rsidR="00A346E5" w:rsidRPr="00A346E5">
        <w:rPr>
          <w:sz w:val="22"/>
          <w:szCs w:val="22"/>
        </w:rPr>
        <w:t>de medidas extraordinarias de apoyo a la solvencia empresarial en respuesta a la pandemia de la COVID-19, financ</w:t>
      </w:r>
      <w:r w:rsidR="00A346E5">
        <w:rPr>
          <w:sz w:val="22"/>
          <w:szCs w:val="22"/>
        </w:rPr>
        <w:t xml:space="preserve">iada por el Gobierno de España, al amparo del Decreto Ley 6/2021, </w:t>
      </w:r>
      <w:r w:rsidR="00A346E5" w:rsidRPr="00A346E5">
        <w:rPr>
          <w:sz w:val="22"/>
          <w:szCs w:val="22"/>
        </w:rPr>
        <w:t>de 4 de junio</w:t>
      </w:r>
      <w:r w:rsidR="00A346E5">
        <w:rPr>
          <w:sz w:val="22"/>
          <w:szCs w:val="22"/>
        </w:rPr>
        <w:t xml:space="preserve">, por importe de 2.561.404,31 €, concedida por la Consejería de Economía, Conocimiento y Empleo del Gobierno de Canarias. </w:t>
      </w:r>
    </w:p>
    <w:p w14:paraId="46C7FF6A" w14:textId="51296833" w:rsidR="00A346E5" w:rsidRDefault="00A346E5" w:rsidP="00A346E5">
      <w:pPr>
        <w:pStyle w:val="Textoindependiente"/>
        <w:numPr>
          <w:ilvl w:val="0"/>
          <w:numId w:val="43"/>
        </w:numPr>
        <w:rPr>
          <w:sz w:val="22"/>
          <w:szCs w:val="22"/>
        </w:rPr>
      </w:pPr>
      <w:r>
        <w:rPr>
          <w:sz w:val="22"/>
          <w:szCs w:val="22"/>
        </w:rPr>
        <w:t xml:space="preserve">Concesión directa de subvenciones dirigidas a cubrir el coste del IBI soportado por empresas titulares de establecimientos de alojamiento turístico, prevista en el Decreto Ley 10/2021, de 22 de julio, por 69.941,21 €, concedida por la Consejería de Turismo, Industria y Comercio del Gobierno de Canarias. </w:t>
      </w:r>
    </w:p>
    <w:p w14:paraId="3C8F47F1" w14:textId="0597D587" w:rsidR="00A346E5" w:rsidRDefault="00A346E5" w:rsidP="00A346E5">
      <w:pPr>
        <w:pStyle w:val="Textoindependiente"/>
        <w:numPr>
          <w:ilvl w:val="0"/>
          <w:numId w:val="43"/>
        </w:numPr>
        <w:rPr>
          <w:sz w:val="22"/>
          <w:szCs w:val="22"/>
        </w:rPr>
      </w:pPr>
      <w:r>
        <w:rPr>
          <w:sz w:val="22"/>
          <w:szCs w:val="22"/>
        </w:rPr>
        <w:t xml:space="preserve">Subvención de capital por importe de 624.165 euros, por Incentivos Regionales previstos en la Ley 50/1985, de 27 de diciembre, para la realización del proyecto de mejora del Hotel </w:t>
      </w:r>
      <w:proofErr w:type="spellStart"/>
      <w:r>
        <w:rPr>
          <w:sz w:val="22"/>
          <w:szCs w:val="22"/>
        </w:rPr>
        <w:t>Vallemar</w:t>
      </w:r>
      <w:proofErr w:type="spellEnd"/>
      <w:r>
        <w:rPr>
          <w:sz w:val="22"/>
          <w:szCs w:val="22"/>
        </w:rPr>
        <w:t xml:space="preserve">, obra ya finalizada y que duró desde abril de 2016 hasta agosto del mismo año. Esta subvención, concedida por la Subdirección General de Incentivos Regionales, del Ministerio de Hacienda y Administraciones Públicas del Gobierno de España, el 17 de diciembre de 2013, </w:t>
      </w:r>
      <w:r w:rsidR="00B77146">
        <w:rPr>
          <w:sz w:val="22"/>
          <w:szCs w:val="22"/>
        </w:rPr>
        <w:t xml:space="preserve">y cobrada en 2021, </w:t>
      </w:r>
      <w:r>
        <w:rPr>
          <w:sz w:val="22"/>
          <w:szCs w:val="22"/>
        </w:rPr>
        <w:t xml:space="preserve">estaba sujeta a condiciones de mantenimiento de empleo, al cumplimiento de cierto nivel de autofinanciación y a la acreditación de una inversión de al menos 4.161.100 euros. Hasta el momento del cumplimiento de los citados requisitos, esta subvención tuvo el carácter de reintegrable, registrándose hasta entonces como pasivo. A la fecha del inicio de este ejercicio solo quedaba pendiente acreditar el mantenimiento de empleo, acreditación que se completó a 30 de junio de 2021, por lo que es a partir de esa fecha en la que se considera la subvención como no reintegrable, motivo por el cual se ha procedido a reclasificar a patrimonio neto y a pasivo por impuesto diferido los 624.165 concedidos, realizando un traspaso a </w:t>
      </w:r>
      <w:r w:rsidR="00B77146">
        <w:rPr>
          <w:sz w:val="22"/>
          <w:szCs w:val="22"/>
        </w:rPr>
        <w:t xml:space="preserve">ingresos en 2021 por importe de 23.237,34 €. </w:t>
      </w:r>
    </w:p>
    <w:p w14:paraId="6B052E35" w14:textId="77777777" w:rsidR="008B5F92" w:rsidRPr="008B5F92" w:rsidRDefault="008B5F92" w:rsidP="008B5F92">
      <w:pPr>
        <w:pStyle w:val="Textoindependiente"/>
        <w:ind w:left="720"/>
        <w:rPr>
          <w:sz w:val="22"/>
          <w:szCs w:val="22"/>
        </w:rPr>
      </w:pPr>
    </w:p>
    <w:p w14:paraId="570300A4" w14:textId="77777777" w:rsidR="00853FBE" w:rsidRPr="00FE3E89" w:rsidRDefault="00853FBE" w:rsidP="00853FBE">
      <w:pPr>
        <w:pStyle w:val="Textoindependiente"/>
        <w:ind w:firstLine="567"/>
        <w:rPr>
          <w:sz w:val="22"/>
          <w:szCs w:val="22"/>
        </w:rPr>
      </w:pPr>
      <w:r w:rsidRPr="00FE3E89">
        <w:rPr>
          <w:sz w:val="22"/>
          <w:szCs w:val="22"/>
        </w:rPr>
        <w:t>La Sociedad viene cumpliendo los requisitos legales exigidos para la obtención y mantenimiento de tales subvenciones.</w:t>
      </w:r>
    </w:p>
    <w:p w14:paraId="293C877E" w14:textId="77777777" w:rsidR="00853FBE" w:rsidRDefault="00853FBE" w:rsidP="00853FBE">
      <w:pPr>
        <w:pStyle w:val="Ttulo1"/>
        <w:spacing w:before="360" w:after="120"/>
        <w:ind w:left="567" w:hanging="567"/>
        <w:jc w:val="both"/>
        <w:rPr>
          <w:sz w:val="22"/>
          <w:szCs w:val="22"/>
        </w:rPr>
      </w:pPr>
      <w:bookmarkStart w:id="103" w:name="_Toc106814616"/>
      <w:r>
        <w:rPr>
          <w:sz w:val="22"/>
          <w:szCs w:val="22"/>
        </w:rPr>
        <w:t xml:space="preserve">19. </w:t>
      </w:r>
      <w:r>
        <w:rPr>
          <w:sz w:val="22"/>
          <w:szCs w:val="22"/>
        </w:rPr>
        <w:tab/>
        <w:t>Combinaciones de negocios</w:t>
      </w:r>
      <w:bookmarkEnd w:id="103"/>
    </w:p>
    <w:p w14:paraId="1226C68A" w14:textId="77777777" w:rsidR="00853FBE" w:rsidRPr="00CA0E8A" w:rsidRDefault="00853FBE" w:rsidP="00853FBE">
      <w:pPr>
        <w:pStyle w:val="Textoindependiente"/>
        <w:ind w:left="360" w:firstLine="207"/>
        <w:rPr>
          <w:sz w:val="22"/>
        </w:rPr>
      </w:pPr>
      <w:r w:rsidRPr="00CA0E8A">
        <w:rPr>
          <w:sz w:val="22"/>
        </w:rPr>
        <w:t>Sin contenido</w:t>
      </w:r>
    </w:p>
    <w:p w14:paraId="749B66D5" w14:textId="77777777" w:rsidR="00853FBE" w:rsidRDefault="00853FBE" w:rsidP="00853FBE">
      <w:pPr>
        <w:pStyle w:val="Ttulo1"/>
        <w:spacing w:before="360" w:after="120"/>
        <w:ind w:left="567" w:hanging="567"/>
        <w:jc w:val="both"/>
        <w:rPr>
          <w:sz w:val="22"/>
          <w:szCs w:val="22"/>
        </w:rPr>
      </w:pPr>
      <w:bookmarkStart w:id="104" w:name="_Toc106814617"/>
      <w:r>
        <w:rPr>
          <w:sz w:val="22"/>
          <w:szCs w:val="22"/>
        </w:rPr>
        <w:t xml:space="preserve">20. </w:t>
      </w:r>
      <w:r>
        <w:rPr>
          <w:sz w:val="22"/>
          <w:szCs w:val="22"/>
        </w:rPr>
        <w:tab/>
        <w:t>Negocios conjuntos</w:t>
      </w:r>
      <w:bookmarkEnd w:id="104"/>
    </w:p>
    <w:p w14:paraId="08C4FD42" w14:textId="77777777" w:rsidR="00853FBE" w:rsidRDefault="00853FBE" w:rsidP="00853FBE">
      <w:pPr>
        <w:pStyle w:val="Textoindependiente"/>
        <w:ind w:firstLine="567"/>
        <w:rPr>
          <w:sz w:val="22"/>
          <w:szCs w:val="22"/>
        </w:rPr>
      </w:pPr>
      <w:r>
        <w:rPr>
          <w:sz w:val="22"/>
          <w:szCs w:val="22"/>
        </w:rPr>
        <w:t>Sin contenido</w:t>
      </w:r>
    </w:p>
    <w:p w14:paraId="08347478" w14:textId="77777777" w:rsidR="00853FBE" w:rsidRDefault="00853FBE" w:rsidP="00853FBE">
      <w:pPr>
        <w:pStyle w:val="Ttulo1"/>
        <w:spacing w:before="360" w:after="120"/>
        <w:ind w:left="567" w:hanging="567"/>
        <w:jc w:val="both"/>
        <w:rPr>
          <w:sz w:val="22"/>
          <w:szCs w:val="22"/>
        </w:rPr>
      </w:pPr>
      <w:bookmarkStart w:id="105" w:name="_Toc106814618"/>
      <w:r>
        <w:rPr>
          <w:sz w:val="22"/>
          <w:szCs w:val="22"/>
        </w:rPr>
        <w:t xml:space="preserve">21. </w:t>
      </w:r>
      <w:r>
        <w:rPr>
          <w:sz w:val="22"/>
          <w:szCs w:val="22"/>
        </w:rPr>
        <w:tab/>
        <w:t>Activos no corrientes mantenidos para la venta y operaciones interrumpidas</w:t>
      </w:r>
      <w:bookmarkEnd w:id="105"/>
    </w:p>
    <w:p w14:paraId="5F64C881" w14:textId="3C1D9A4A" w:rsidR="00853FBE" w:rsidRDefault="00853FBE" w:rsidP="00853FBE">
      <w:pPr>
        <w:pStyle w:val="Textoindependiente"/>
        <w:ind w:firstLine="567"/>
        <w:rPr>
          <w:sz w:val="22"/>
          <w:szCs w:val="22"/>
        </w:rPr>
      </w:pPr>
      <w:r>
        <w:rPr>
          <w:sz w:val="22"/>
          <w:szCs w:val="22"/>
        </w:rPr>
        <w:t xml:space="preserve">La Sociedad no tiene activos mantenidos para la venta ni ha realizado actividades clasificadas como interrumpidas en el ejercicio </w:t>
      </w:r>
      <w:r w:rsidR="000253BC">
        <w:rPr>
          <w:sz w:val="22"/>
          <w:szCs w:val="22"/>
        </w:rPr>
        <w:t>2021</w:t>
      </w:r>
      <w:r>
        <w:rPr>
          <w:sz w:val="22"/>
          <w:szCs w:val="22"/>
        </w:rPr>
        <w:t xml:space="preserve">. </w:t>
      </w:r>
    </w:p>
    <w:p w14:paraId="386CDD72" w14:textId="77777777" w:rsidR="00853FBE" w:rsidRDefault="00853FBE" w:rsidP="00853FBE">
      <w:pPr>
        <w:pStyle w:val="Ttulo1"/>
        <w:spacing w:before="360" w:after="120"/>
        <w:ind w:left="567" w:hanging="567"/>
        <w:jc w:val="both"/>
        <w:rPr>
          <w:sz w:val="22"/>
          <w:szCs w:val="22"/>
        </w:rPr>
      </w:pPr>
      <w:bookmarkStart w:id="106" w:name="_Toc106814619"/>
      <w:r>
        <w:rPr>
          <w:sz w:val="22"/>
          <w:szCs w:val="22"/>
        </w:rPr>
        <w:t xml:space="preserve">22. </w:t>
      </w:r>
      <w:r>
        <w:rPr>
          <w:sz w:val="22"/>
          <w:szCs w:val="22"/>
        </w:rPr>
        <w:tab/>
        <w:t>Hechos posteriores al cierre</w:t>
      </w:r>
      <w:bookmarkEnd w:id="106"/>
    </w:p>
    <w:p w14:paraId="4182C97B" w14:textId="58FFEDA4" w:rsidR="00B77146" w:rsidRDefault="00B77146" w:rsidP="00B77146">
      <w:pPr>
        <w:widowControl w:val="0"/>
        <w:autoSpaceDE w:val="0"/>
        <w:autoSpaceDN w:val="0"/>
        <w:adjustRightInd w:val="0"/>
        <w:spacing w:after="0"/>
        <w:ind w:firstLine="567"/>
        <w:jc w:val="both"/>
        <w:rPr>
          <w:color w:val="000000"/>
          <w:sz w:val="22"/>
          <w:szCs w:val="22"/>
        </w:rPr>
      </w:pPr>
      <w:r w:rsidRPr="00B77146">
        <w:rPr>
          <w:color w:val="000000"/>
          <w:sz w:val="22"/>
          <w:szCs w:val="22"/>
        </w:rPr>
        <w:t>No han ocurrido hechos relevantes después del cierre del ejercicio que hagan necesaria la modificación de estas cuentas anuales.</w:t>
      </w:r>
    </w:p>
    <w:p w14:paraId="37538B86" w14:textId="74CDA61F" w:rsidR="00A91E6A" w:rsidRPr="00B77146" w:rsidRDefault="00A91E6A" w:rsidP="00B77146">
      <w:pPr>
        <w:widowControl w:val="0"/>
        <w:autoSpaceDE w:val="0"/>
        <w:autoSpaceDN w:val="0"/>
        <w:adjustRightInd w:val="0"/>
        <w:spacing w:after="0"/>
        <w:ind w:firstLine="567"/>
        <w:jc w:val="both"/>
        <w:rPr>
          <w:color w:val="000000"/>
          <w:sz w:val="22"/>
          <w:szCs w:val="22"/>
        </w:rPr>
      </w:pPr>
      <w:r w:rsidRPr="00A91E6A">
        <w:rPr>
          <w:color w:val="000000"/>
          <w:sz w:val="22"/>
          <w:szCs w:val="22"/>
        </w:rPr>
        <w:t xml:space="preserve">La </w:t>
      </w:r>
      <w:r w:rsidR="001C74F9">
        <w:rPr>
          <w:color w:val="000000"/>
          <w:sz w:val="22"/>
          <w:szCs w:val="22"/>
        </w:rPr>
        <w:t>invasión rusa</w:t>
      </w:r>
      <w:r w:rsidRPr="00A91E6A">
        <w:rPr>
          <w:color w:val="000000"/>
          <w:sz w:val="22"/>
          <w:szCs w:val="22"/>
        </w:rPr>
        <w:t xml:space="preserve"> de Ucrania que empezó en el mes de marzo de este año 2022 ha </w:t>
      </w:r>
      <w:r w:rsidR="001C74F9">
        <w:rPr>
          <w:color w:val="000000"/>
          <w:sz w:val="22"/>
          <w:szCs w:val="22"/>
        </w:rPr>
        <w:t>coincidido con</w:t>
      </w:r>
      <w:r w:rsidRPr="00A91E6A">
        <w:rPr>
          <w:color w:val="000000"/>
          <w:sz w:val="22"/>
          <w:szCs w:val="22"/>
        </w:rPr>
        <w:t xml:space="preserve"> un aumento de precios de las materias primas y combustibles,</w:t>
      </w:r>
      <w:r w:rsidR="001C74F9">
        <w:rPr>
          <w:color w:val="000000"/>
          <w:sz w:val="22"/>
          <w:szCs w:val="22"/>
        </w:rPr>
        <w:t xml:space="preserve"> que se prevé que no afecte significativamente al resultado de la empresa, ya que no se están acometiendo en la actualidad obras de consideración. Tampoco se ha apreciado impacto negativo alguno en las reservas hoteleras. </w:t>
      </w:r>
    </w:p>
    <w:p w14:paraId="5945D880" w14:textId="77777777" w:rsidR="00635291" w:rsidRPr="00635291" w:rsidRDefault="00635291" w:rsidP="00635291">
      <w:pPr>
        <w:widowControl w:val="0"/>
        <w:autoSpaceDE w:val="0"/>
        <w:autoSpaceDN w:val="0"/>
        <w:adjustRightInd w:val="0"/>
        <w:spacing w:after="0"/>
        <w:ind w:firstLine="283"/>
        <w:jc w:val="both"/>
        <w:rPr>
          <w:color w:val="000000"/>
          <w:sz w:val="22"/>
          <w:szCs w:val="22"/>
        </w:rPr>
      </w:pPr>
    </w:p>
    <w:p w14:paraId="76D93E5C" w14:textId="77BC3312" w:rsidR="00853FBE" w:rsidRPr="00635291" w:rsidRDefault="00853FBE" w:rsidP="00635291">
      <w:pPr>
        <w:tabs>
          <w:tab w:val="left" w:pos="-720"/>
        </w:tabs>
        <w:suppressAutoHyphens/>
        <w:jc w:val="both"/>
        <w:rPr>
          <w:b/>
          <w:bCs/>
          <w:sz w:val="22"/>
          <w:szCs w:val="22"/>
        </w:rPr>
      </w:pPr>
      <w:r w:rsidRPr="00635291">
        <w:rPr>
          <w:b/>
          <w:bCs/>
          <w:sz w:val="22"/>
          <w:szCs w:val="22"/>
        </w:rPr>
        <w:t xml:space="preserve">23. </w:t>
      </w:r>
      <w:r w:rsidRPr="00635291">
        <w:rPr>
          <w:b/>
          <w:bCs/>
          <w:sz w:val="22"/>
          <w:szCs w:val="22"/>
        </w:rPr>
        <w:tab/>
        <w:t>Operaciones con partes vinculadas</w:t>
      </w:r>
    </w:p>
    <w:p w14:paraId="073A3F5E" w14:textId="00AED86C" w:rsidR="00853FBE" w:rsidRDefault="00853FBE" w:rsidP="00853FBE">
      <w:pPr>
        <w:pStyle w:val="Textoindependiente"/>
        <w:ind w:firstLine="567"/>
        <w:rPr>
          <w:sz w:val="22"/>
          <w:szCs w:val="22"/>
        </w:rPr>
      </w:pPr>
      <w:r>
        <w:rPr>
          <w:sz w:val="22"/>
          <w:szCs w:val="22"/>
        </w:rPr>
        <w:t xml:space="preserve">La información sobre operaciones con partes vinculadas de la Sociedad realizadas en el ejercicio </w:t>
      </w:r>
      <w:r w:rsidR="000253BC">
        <w:rPr>
          <w:sz w:val="22"/>
          <w:szCs w:val="22"/>
        </w:rPr>
        <w:t>2021</w:t>
      </w:r>
      <w:r>
        <w:rPr>
          <w:sz w:val="22"/>
          <w:szCs w:val="22"/>
        </w:rPr>
        <w:t xml:space="preserve"> se recoge en los siguientes cuadros:</w:t>
      </w:r>
    </w:p>
    <w:p w14:paraId="609DBB02" w14:textId="77777777" w:rsidR="00853FBE" w:rsidRDefault="00853FBE" w:rsidP="00853FBE">
      <w:pPr>
        <w:pStyle w:val="Textoindependiente"/>
        <w:ind w:firstLine="567"/>
        <w:rPr>
          <w:sz w:val="22"/>
          <w:szCs w:val="22"/>
        </w:rPr>
      </w:pPr>
    </w:p>
    <w:bookmarkStart w:id="107" w:name="_Hlk51165780"/>
    <w:bookmarkStart w:id="108" w:name="_MON_1592065995"/>
    <w:bookmarkEnd w:id="108"/>
    <w:p w14:paraId="1E1C2EF8" w14:textId="2920949B" w:rsidR="00853FBE" w:rsidRDefault="00E626A7" w:rsidP="00853FBE">
      <w:pPr>
        <w:pStyle w:val="Textoindependiente"/>
        <w:rPr>
          <w:sz w:val="22"/>
          <w:szCs w:val="22"/>
        </w:rPr>
      </w:pPr>
      <w:r w:rsidRPr="00EA0F71">
        <w:rPr>
          <w:rFonts w:ascii="Calibri" w:hAnsi="Calibri"/>
          <w:sz w:val="18"/>
          <w:szCs w:val="18"/>
        </w:rPr>
        <w:object w:dxaOrig="7785" w:dyaOrig="6555" w14:anchorId="6750E316">
          <v:shape id="_x0000_i1056" type="#_x0000_t75" style="width:375.75pt;height:334.5pt" o:ole="">
            <v:imagedata r:id="rId72" o:title=""/>
          </v:shape>
          <o:OLEObject Type="Embed" ProgID="Excel.Sheet.8" ShapeID="_x0000_i1056" DrawAspect="Content" ObjectID="_1717427637" r:id="rId73"/>
        </w:object>
      </w:r>
      <w:bookmarkEnd w:id="107"/>
    </w:p>
    <w:p w14:paraId="3A42A182" w14:textId="77777777" w:rsidR="00853FBE" w:rsidRDefault="00853FBE" w:rsidP="00853FBE">
      <w:pPr>
        <w:pStyle w:val="Textoindependiente"/>
        <w:rPr>
          <w:sz w:val="22"/>
          <w:szCs w:val="22"/>
        </w:rPr>
      </w:pPr>
    </w:p>
    <w:bookmarkStart w:id="109" w:name="_MON_1592066298"/>
    <w:bookmarkEnd w:id="109"/>
    <w:p w14:paraId="293AC1A8" w14:textId="53E252D1" w:rsidR="00853FBE" w:rsidRDefault="00E626A7" w:rsidP="00853FBE">
      <w:pPr>
        <w:pStyle w:val="Textoindependiente"/>
        <w:ind w:left="-567" w:firstLine="567"/>
        <w:rPr>
          <w:sz w:val="22"/>
          <w:szCs w:val="22"/>
        </w:rPr>
      </w:pPr>
      <w:r w:rsidRPr="00EA0F71">
        <w:rPr>
          <w:rFonts w:ascii="Calibri" w:hAnsi="Calibri"/>
          <w:sz w:val="18"/>
          <w:szCs w:val="18"/>
        </w:rPr>
        <w:object w:dxaOrig="8475" w:dyaOrig="12555" w14:anchorId="1EA90D2A">
          <v:shape id="_x0000_i1057" type="#_x0000_t75" style="width:375.75pt;height:579.75pt" o:ole="">
            <v:imagedata r:id="rId74" o:title=""/>
          </v:shape>
          <o:OLEObject Type="Embed" ProgID="Excel.Sheet.8" ShapeID="_x0000_i1057" DrawAspect="Content" ObjectID="_1717427638" r:id="rId75"/>
        </w:object>
      </w:r>
    </w:p>
    <w:p w14:paraId="4E24242B" w14:textId="77777777" w:rsidR="00853FBE" w:rsidRDefault="00853FBE" w:rsidP="00853FBE">
      <w:pPr>
        <w:pStyle w:val="Textoindependiente"/>
        <w:ind w:firstLine="567"/>
        <w:rPr>
          <w:sz w:val="22"/>
          <w:szCs w:val="22"/>
        </w:rPr>
      </w:pPr>
    </w:p>
    <w:p w14:paraId="5B8C732A" w14:textId="77777777" w:rsidR="00853FBE" w:rsidRDefault="00853FBE" w:rsidP="00853FBE">
      <w:pPr>
        <w:pStyle w:val="Textoindependiente"/>
        <w:ind w:firstLine="567"/>
        <w:rPr>
          <w:sz w:val="22"/>
          <w:szCs w:val="22"/>
        </w:rPr>
      </w:pPr>
    </w:p>
    <w:p w14:paraId="362B0187" w14:textId="77777777" w:rsidR="00853FBE" w:rsidRDefault="00853FBE" w:rsidP="00853FBE">
      <w:pPr>
        <w:pStyle w:val="Textoindependiente"/>
        <w:ind w:firstLine="567"/>
        <w:rPr>
          <w:sz w:val="22"/>
          <w:szCs w:val="22"/>
        </w:rPr>
      </w:pPr>
    </w:p>
    <w:p w14:paraId="5AB7D2AD" w14:textId="77777777" w:rsidR="00F373E3" w:rsidRDefault="00F373E3" w:rsidP="00853FBE">
      <w:pPr>
        <w:pStyle w:val="Textoindependiente"/>
        <w:ind w:firstLine="567"/>
        <w:rPr>
          <w:sz w:val="22"/>
          <w:szCs w:val="22"/>
        </w:rPr>
      </w:pPr>
    </w:p>
    <w:p w14:paraId="591A2810" w14:textId="77777777" w:rsidR="00F373E3" w:rsidRDefault="00F373E3" w:rsidP="00853FBE">
      <w:pPr>
        <w:pStyle w:val="Textoindependiente"/>
        <w:ind w:firstLine="567"/>
        <w:rPr>
          <w:sz w:val="22"/>
          <w:szCs w:val="22"/>
        </w:rPr>
      </w:pPr>
    </w:p>
    <w:p w14:paraId="2AE667C5" w14:textId="6D2E1B82" w:rsidR="00853FBE" w:rsidRDefault="00853FBE" w:rsidP="00853FBE">
      <w:pPr>
        <w:pStyle w:val="Textoindependiente"/>
        <w:ind w:firstLine="567"/>
        <w:rPr>
          <w:sz w:val="22"/>
          <w:szCs w:val="22"/>
        </w:rPr>
      </w:pPr>
      <w:r>
        <w:rPr>
          <w:sz w:val="22"/>
          <w:szCs w:val="22"/>
        </w:rPr>
        <w:t xml:space="preserve">La información sobre operaciones con partes vinculadas de la Sociedad realizadas en el ejercicio </w:t>
      </w:r>
      <w:r w:rsidR="000253BC">
        <w:rPr>
          <w:sz w:val="22"/>
          <w:szCs w:val="22"/>
        </w:rPr>
        <w:t>2020</w:t>
      </w:r>
      <w:r>
        <w:rPr>
          <w:sz w:val="22"/>
          <w:szCs w:val="22"/>
        </w:rPr>
        <w:t xml:space="preserve"> se recoge en los siguientes cuadros:</w:t>
      </w:r>
    </w:p>
    <w:p w14:paraId="6427AE3B" w14:textId="77777777" w:rsidR="00853FBE" w:rsidRDefault="00853FBE" w:rsidP="00853FBE">
      <w:pPr>
        <w:pStyle w:val="Textoindependiente"/>
        <w:ind w:firstLine="567"/>
        <w:rPr>
          <w:sz w:val="22"/>
          <w:szCs w:val="22"/>
        </w:rPr>
      </w:pPr>
    </w:p>
    <w:p w14:paraId="020000BD" w14:textId="7219666A" w:rsidR="00DD2C57" w:rsidRPr="00DD2C57" w:rsidRDefault="00B77146" w:rsidP="00DD2C57">
      <w:pPr>
        <w:pStyle w:val="Textoindependiente"/>
        <w:ind w:left="-720" w:firstLine="720"/>
        <w:rPr>
          <w:rFonts w:ascii="Calibri" w:hAnsi="Calibri"/>
          <w:sz w:val="18"/>
          <w:szCs w:val="18"/>
        </w:rPr>
      </w:pPr>
      <w:r w:rsidRPr="00EA0F71">
        <w:rPr>
          <w:rFonts w:ascii="Calibri" w:hAnsi="Calibri"/>
          <w:sz w:val="18"/>
          <w:szCs w:val="18"/>
        </w:rPr>
        <w:object w:dxaOrig="8209" w:dyaOrig="6353" w14:anchorId="40E37C03">
          <v:shape id="_x0000_i1058" type="#_x0000_t75" style="width:396pt;height:324pt" o:ole="">
            <v:imagedata r:id="rId76" o:title=""/>
          </v:shape>
          <o:OLEObject Type="Embed" ProgID="Excel.Sheet.8" ShapeID="_x0000_i1058" DrawAspect="Content" ObjectID="_1717427639" r:id="rId77"/>
        </w:object>
      </w:r>
    </w:p>
    <w:p w14:paraId="6153FA14" w14:textId="0C22AF42" w:rsidR="00853FBE" w:rsidRDefault="00853FBE" w:rsidP="00853FBE">
      <w:pPr>
        <w:pStyle w:val="Textoindependiente"/>
        <w:ind w:left="-720" w:firstLine="720"/>
        <w:rPr>
          <w:sz w:val="22"/>
          <w:szCs w:val="22"/>
        </w:rPr>
      </w:pPr>
    </w:p>
    <w:p w14:paraId="6DADB9A3" w14:textId="77777777" w:rsidR="00853FBE" w:rsidRDefault="00853FBE" w:rsidP="00853FBE">
      <w:pPr>
        <w:pStyle w:val="Textoindependiente"/>
        <w:ind w:left="-720"/>
        <w:rPr>
          <w:sz w:val="22"/>
          <w:szCs w:val="22"/>
        </w:rPr>
      </w:pPr>
    </w:p>
    <w:p w14:paraId="3CB7A364" w14:textId="04C82C7C" w:rsidR="00853FBE" w:rsidRDefault="00B77146" w:rsidP="00853FBE">
      <w:pPr>
        <w:pStyle w:val="Textoindependiente"/>
        <w:ind w:left="-840" w:firstLine="840"/>
        <w:rPr>
          <w:sz w:val="22"/>
          <w:szCs w:val="22"/>
        </w:rPr>
      </w:pPr>
      <w:r w:rsidRPr="00EA0F71">
        <w:rPr>
          <w:rFonts w:ascii="Calibri" w:hAnsi="Calibri"/>
          <w:sz w:val="18"/>
          <w:szCs w:val="18"/>
        </w:rPr>
        <w:object w:dxaOrig="8936" w:dyaOrig="12173" w14:anchorId="79BA8D35">
          <v:shape id="_x0000_i1059" type="#_x0000_t75" style="width:396pt;height:561.75pt" o:ole="">
            <v:imagedata r:id="rId78" o:title=""/>
          </v:shape>
          <o:OLEObject Type="Embed" ProgID="Excel.Sheet.8" ShapeID="_x0000_i1059" DrawAspect="Content" ObjectID="_1717427640" r:id="rId79"/>
        </w:object>
      </w:r>
    </w:p>
    <w:p w14:paraId="75A9A4AA" w14:textId="77777777" w:rsidR="00853FBE" w:rsidRDefault="00853FBE" w:rsidP="00853FBE">
      <w:pPr>
        <w:pStyle w:val="Textoindependiente"/>
        <w:ind w:left="567"/>
        <w:rPr>
          <w:sz w:val="22"/>
          <w:szCs w:val="22"/>
        </w:rPr>
      </w:pPr>
    </w:p>
    <w:p w14:paraId="081EFF81" w14:textId="77777777" w:rsidR="00853FBE" w:rsidRDefault="00853FBE" w:rsidP="00853FBE">
      <w:pPr>
        <w:pStyle w:val="Textoindependiente"/>
        <w:ind w:firstLine="708"/>
        <w:rPr>
          <w:sz w:val="22"/>
          <w:szCs w:val="22"/>
        </w:rPr>
      </w:pPr>
      <w:r>
        <w:rPr>
          <w:sz w:val="22"/>
          <w:szCs w:val="22"/>
        </w:rPr>
        <w:t>Los importes recibidos por el personal de alta dirección de la Sociedad son los siguientes:</w:t>
      </w:r>
    </w:p>
    <w:bookmarkStart w:id="110" w:name="_MON_1592066418"/>
    <w:bookmarkEnd w:id="110"/>
    <w:p w14:paraId="283CA127" w14:textId="2816EADF" w:rsidR="00853FBE" w:rsidRDefault="00E626A7" w:rsidP="00853FBE">
      <w:pPr>
        <w:pStyle w:val="Textoindependiente"/>
        <w:rPr>
          <w:sz w:val="22"/>
          <w:szCs w:val="22"/>
        </w:rPr>
      </w:pPr>
      <w:r w:rsidRPr="00EA0F71">
        <w:rPr>
          <w:rFonts w:ascii="Calibri" w:hAnsi="Calibri"/>
          <w:sz w:val="18"/>
          <w:szCs w:val="18"/>
        </w:rPr>
        <w:object w:dxaOrig="7065" w:dyaOrig="4500" w14:anchorId="6C822ACA">
          <v:shape id="_x0000_i1060" type="#_x0000_t75" style="width:362.25pt;height:237.75pt" o:ole="">
            <v:imagedata r:id="rId80" o:title=""/>
          </v:shape>
          <o:OLEObject Type="Embed" ProgID="Excel.Sheet.8" ShapeID="_x0000_i1060" DrawAspect="Content" ObjectID="_1717427641" r:id="rId81"/>
        </w:object>
      </w:r>
    </w:p>
    <w:p w14:paraId="5CB33188" w14:textId="77777777" w:rsidR="00111E29" w:rsidRDefault="00111E29" w:rsidP="00853FBE">
      <w:pPr>
        <w:pStyle w:val="Textoindependiente"/>
        <w:ind w:firstLine="708"/>
        <w:rPr>
          <w:sz w:val="22"/>
          <w:szCs w:val="22"/>
        </w:rPr>
      </w:pPr>
    </w:p>
    <w:p w14:paraId="38FF0BDE" w14:textId="77777777" w:rsidR="00853FBE" w:rsidRDefault="00853FBE" w:rsidP="00853FBE">
      <w:pPr>
        <w:pStyle w:val="Textoindependiente"/>
        <w:ind w:firstLine="708"/>
        <w:rPr>
          <w:sz w:val="22"/>
          <w:szCs w:val="22"/>
        </w:rPr>
      </w:pPr>
      <w:r>
        <w:rPr>
          <w:sz w:val="22"/>
          <w:szCs w:val="22"/>
        </w:rPr>
        <w:t>Los importes recibidos por los miembros del órgano de administración de la Sociedad son los siguientes:</w:t>
      </w:r>
    </w:p>
    <w:bookmarkStart w:id="111" w:name="_MON_1592066483"/>
    <w:bookmarkEnd w:id="111"/>
    <w:p w14:paraId="2B770E0E" w14:textId="1C5F79F6" w:rsidR="00853FBE" w:rsidRDefault="00E626A7" w:rsidP="00853FBE">
      <w:pPr>
        <w:pStyle w:val="Textoindependiente"/>
        <w:rPr>
          <w:sz w:val="22"/>
          <w:szCs w:val="22"/>
        </w:rPr>
      </w:pPr>
      <w:r w:rsidRPr="00EA0F71">
        <w:rPr>
          <w:rFonts w:ascii="Calibri" w:hAnsi="Calibri"/>
          <w:sz w:val="18"/>
          <w:szCs w:val="18"/>
        </w:rPr>
        <w:object w:dxaOrig="8265" w:dyaOrig="4335" w14:anchorId="5BE5D739">
          <v:shape id="_x0000_i1061" type="#_x0000_t75" style="width:423pt;height:222.75pt" o:ole="">
            <v:imagedata r:id="rId82" o:title=""/>
          </v:shape>
          <o:OLEObject Type="Embed" ProgID="Excel.Sheet.8" ShapeID="_x0000_i1061" DrawAspect="Content" ObjectID="_1717427642" r:id="rId83"/>
        </w:object>
      </w:r>
    </w:p>
    <w:p w14:paraId="1162F0BA" w14:textId="61AEAB61" w:rsidR="00853FBE" w:rsidRDefault="00853FBE" w:rsidP="00844CF4">
      <w:pPr>
        <w:pStyle w:val="Textoindependiente"/>
        <w:ind w:firstLine="567"/>
        <w:rPr>
          <w:sz w:val="22"/>
          <w:szCs w:val="22"/>
        </w:rPr>
      </w:pPr>
      <w:r w:rsidRPr="009D3778">
        <w:rPr>
          <w:sz w:val="22"/>
          <w:szCs w:val="22"/>
        </w:rPr>
        <w:t xml:space="preserve">Los administradores </w:t>
      </w:r>
      <w:r w:rsidR="00844CF4">
        <w:rPr>
          <w:sz w:val="22"/>
          <w:szCs w:val="22"/>
        </w:rPr>
        <w:t xml:space="preserve">o las personas vinculadas a ellos </w:t>
      </w:r>
      <w:r w:rsidRPr="009D3778">
        <w:rPr>
          <w:sz w:val="22"/>
          <w:szCs w:val="22"/>
        </w:rPr>
        <w:t xml:space="preserve">no han informado de ninguna situación de conflicto, directo o indirecto, que pudieran tener con la Sociedad, tal y </w:t>
      </w:r>
      <w:r w:rsidR="00844CF4">
        <w:rPr>
          <w:sz w:val="22"/>
          <w:szCs w:val="22"/>
        </w:rPr>
        <w:t>como establece el artículo 229</w:t>
      </w:r>
      <w:r w:rsidRPr="009D3778">
        <w:rPr>
          <w:sz w:val="22"/>
          <w:szCs w:val="22"/>
        </w:rPr>
        <w:t xml:space="preserve"> de la Ley de Sociedades de Capital</w:t>
      </w:r>
      <w:r>
        <w:rPr>
          <w:sz w:val="22"/>
          <w:szCs w:val="22"/>
        </w:rPr>
        <w:t>.</w:t>
      </w:r>
      <w:r>
        <w:rPr>
          <w:sz w:val="22"/>
          <w:szCs w:val="22"/>
        </w:rPr>
        <w:br w:type="page"/>
      </w:r>
    </w:p>
    <w:p w14:paraId="1BB9C78B" w14:textId="77777777" w:rsidR="00853FBE" w:rsidRDefault="00853FBE" w:rsidP="00853FBE">
      <w:pPr>
        <w:pStyle w:val="Ttulo1"/>
        <w:spacing w:before="360" w:after="120"/>
        <w:ind w:left="567" w:hanging="567"/>
        <w:jc w:val="both"/>
        <w:rPr>
          <w:sz w:val="22"/>
          <w:szCs w:val="22"/>
        </w:rPr>
      </w:pPr>
      <w:bookmarkStart w:id="112" w:name="_Toc106814620"/>
      <w:r>
        <w:rPr>
          <w:sz w:val="22"/>
          <w:szCs w:val="22"/>
        </w:rPr>
        <w:lastRenderedPageBreak/>
        <w:t xml:space="preserve">24. </w:t>
      </w:r>
      <w:r>
        <w:rPr>
          <w:sz w:val="22"/>
          <w:szCs w:val="22"/>
        </w:rPr>
        <w:tab/>
      </w:r>
      <w:r w:rsidRPr="005E0BCE">
        <w:rPr>
          <w:sz w:val="22"/>
          <w:szCs w:val="22"/>
        </w:rPr>
        <w:t>Otra información</w:t>
      </w:r>
      <w:bookmarkEnd w:id="112"/>
    </w:p>
    <w:p w14:paraId="4128ED46" w14:textId="77777777" w:rsidR="00853FBE" w:rsidRDefault="00853FBE" w:rsidP="00853FBE">
      <w:pPr>
        <w:pStyle w:val="Textoindependiente"/>
        <w:ind w:left="-480"/>
        <w:rPr>
          <w:sz w:val="22"/>
          <w:szCs w:val="22"/>
        </w:rPr>
      </w:pPr>
    </w:p>
    <w:p w14:paraId="5A235EBC" w14:textId="777ED94F" w:rsidR="00853FBE" w:rsidRDefault="00C31B82" w:rsidP="00853FBE">
      <w:pPr>
        <w:pStyle w:val="Textoindependiente"/>
        <w:ind w:firstLine="567"/>
        <w:rPr>
          <w:sz w:val="22"/>
          <w:szCs w:val="22"/>
        </w:rPr>
      </w:pPr>
      <w:r w:rsidRPr="00F72FB1">
        <w:rPr>
          <w:sz w:val="22"/>
          <w:szCs w:val="22"/>
        </w:rPr>
        <w:t xml:space="preserve">El número medio de personas empleadas en el curso del ejercicio </w:t>
      </w:r>
      <w:r w:rsidR="00853FBE" w:rsidRPr="00F72FB1">
        <w:rPr>
          <w:sz w:val="22"/>
          <w:szCs w:val="22"/>
        </w:rPr>
        <w:t xml:space="preserve">del personal de la sociedad, desglosado en un número suficiente de categorías y niveles es </w:t>
      </w:r>
      <w:r w:rsidR="00E626A7" w:rsidRPr="00F72FB1">
        <w:rPr>
          <w:sz w:val="22"/>
          <w:szCs w:val="22"/>
        </w:rPr>
        <w:t xml:space="preserve">el </w:t>
      </w:r>
      <w:r w:rsidR="00E626A7" w:rsidRPr="00E626A7">
        <w:rPr>
          <w:sz w:val="22"/>
          <w:szCs w:val="22"/>
        </w:rPr>
        <w:t>siguiente</w:t>
      </w:r>
      <w:r w:rsidR="00853FBE" w:rsidRPr="00F72FB1">
        <w:rPr>
          <w:sz w:val="22"/>
          <w:szCs w:val="22"/>
        </w:rPr>
        <w:t>:</w:t>
      </w:r>
    </w:p>
    <w:tbl>
      <w:tblPr>
        <w:tblW w:w="8668" w:type="dxa"/>
        <w:tblInd w:w="93" w:type="dxa"/>
        <w:tblLook w:val="04A0" w:firstRow="1" w:lastRow="0" w:firstColumn="1" w:lastColumn="0" w:noHBand="0" w:noVBand="1"/>
      </w:tblPr>
      <w:tblGrid>
        <w:gridCol w:w="2862"/>
        <w:gridCol w:w="1241"/>
        <w:gridCol w:w="1011"/>
        <w:gridCol w:w="1241"/>
        <w:gridCol w:w="1011"/>
        <w:gridCol w:w="1302"/>
      </w:tblGrid>
      <w:tr w:rsidR="00E224F1" w:rsidRPr="00E224F1" w14:paraId="5ABAAA9D" w14:textId="77777777" w:rsidTr="00083C7C">
        <w:trPr>
          <w:trHeight w:val="324"/>
        </w:trPr>
        <w:tc>
          <w:tcPr>
            <w:tcW w:w="2862" w:type="dxa"/>
            <w:tcBorders>
              <w:top w:val="single" w:sz="8" w:space="0" w:color="auto"/>
              <w:left w:val="single" w:sz="4" w:space="0" w:color="auto"/>
              <w:bottom w:val="single" w:sz="4" w:space="0" w:color="auto"/>
              <w:right w:val="nil"/>
            </w:tcBorders>
            <w:shd w:val="clear" w:color="auto" w:fill="auto"/>
            <w:noWrap/>
            <w:vAlign w:val="bottom"/>
            <w:hideMark/>
          </w:tcPr>
          <w:p w14:paraId="7D19AB00" w14:textId="77777777" w:rsidR="00E224F1" w:rsidRPr="00E224F1" w:rsidRDefault="00E224F1" w:rsidP="00E224F1">
            <w:pPr>
              <w:spacing w:before="0" w:after="0"/>
              <w:jc w:val="center"/>
              <w:rPr>
                <w:rFonts w:cs="Arial"/>
                <w:b/>
                <w:bCs/>
                <w:lang w:val="es-ES_tradnl" w:eastAsia="en-US"/>
              </w:rPr>
            </w:pPr>
            <w:bookmarkStart w:id="113" w:name="_Hlk51249571"/>
            <w:r w:rsidRPr="00E224F1">
              <w:rPr>
                <w:rFonts w:cs="Arial"/>
                <w:b/>
                <w:bCs/>
                <w:lang w:val="es-ES_tradnl" w:eastAsia="en-US"/>
              </w:rPr>
              <w:t>Departamento</w:t>
            </w:r>
          </w:p>
        </w:tc>
        <w:tc>
          <w:tcPr>
            <w:tcW w:w="450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C221D3" w14:textId="77777777" w:rsidR="00E224F1" w:rsidRPr="00E224F1" w:rsidRDefault="00E224F1" w:rsidP="00E224F1">
            <w:pPr>
              <w:spacing w:before="0" w:after="0"/>
              <w:jc w:val="center"/>
              <w:rPr>
                <w:rFonts w:cs="Arial"/>
                <w:b/>
                <w:bCs/>
                <w:lang w:val="es-ES_tradnl" w:eastAsia="en-US"/>
              </w:rPr>
            </w:pPr>
            <w:r w:rsidRPr="00E224F1">
              <w:rPr>
                <w:rFonts w:cs="Arial"/>
                <w:b/>
                <w:bCs/>
                <w:lang w:val="es-ES_tradnl" w:eastAsia="en-US"/>
              </w:rPr>
              <w:t>TOTAL EMPRESA</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987B30" w14:textId="456B0F64" w:rsidR="00E224F1" w:rsidRPr="00E224F1" w:rsidRDefault="000253BC" w:rsidP="00E224F1">
            <w:pPr>
              <w:spacing w:before="0" w:after="0"/>
              <w:jc w:val="center"/>
              <w:rPr>
                <w:rFonts w:cs="Arial"/>
                <w:b/>
                <w:bCs/>
                <w:sz w:val="20"/>
                <w:szCs w:val="20"/>
                <w:lang w:val="es-ES_tradnl" w:eastAsia="en-US"/>
              </w:rPr>
            </w:pPr>
            <w:r>
              <w:rPr>
                <w:rFonts w:cs="Arial"/>
                <w:b/>
                <w:bCs/>
                <w:sz w:val="20"/>
                <w:szCs w:val="20"/>
                <w:lang w:val="es-ES_tradnl" w:eastAsia="en-US"/>
              </w:rPr>
              <w:t>2021</w:t>
            </w:r>
          </w:p>
        </w:tc>
      </w:tr>
      <w:tr w:rsidR="00E224F1" w:rsidRPr="00E224F1" w14:paraId="04CBED4B" w14:textId="77777777" w:rsidTr="00083C7C">
        <w:trPr>
          <w:trHeight w:val="260"/>
        </w:trPr>
        <w:tc>
          <w:tcPr>
            <w:tcW w:w="2862" w:type="dxa"/>
            <w:tcBorders>
              <w:top w:val="nil"/>
              <w:left w:val="single" w:sz="4" w:space="0" w:color="auto"/>
              <w:bottom w:val="single" w:sz="4" w:space="0" w:color="auto"/>
              <w:right w:val="nil"/>
            </w:tcBorders>
            <w:shd w:val="clear" w:color="auto" w:fill="auto"/>
            <w:noWrap/>
            <w:vAlign w:val="bottom"/>
            <w:hideMark/>
          </w:tcPr>
          <w:p w14:paraId="4630427E" w14:textId="77777777" w:rsidR="00E224F1" w:rsidRPr="00E224F1" w:rsidRDefault="00E224F1" w:rsidP="00E224F1">
            <w:pPr>
              <w:spacing w:before="0" w:after="0"/>
              <w:jc w:val="center"/>
              <w:rPr>
                <w:rFonts w:cs="Arial"/>
                <w:b/>
                <w:bCs/>
                <w:sz w:val="20"/>
                <w:szCs w:val="20"/>
                <w:lang w:val="es-ES_tradnl" w:eastAsia="en-US"/>
              </w:rPr>
            </w:pPr>
            <w:r w:rsidRPr="00E224F1">
              <w:rPr>
                <w:rFonts w:cs="Arial"/>
                <w:b/>
                <w:bCs/>
                <w:sz w:val="20"/>
                <w:szCs w:val="20"/>
                <w:lang w:val="es-ES_tradnl" w:eastAsia="en-US"/>
              </w:rPr>
              <w:t> </w:t>
            </w:r>
          </w:p>
        </w:tc>
        <w:tc>
          <w:tcPr>
            <w:tcW w:w="22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3C679"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FIJOS</w:t>
            </w:r>
          </w:p>
        </w:tc>
        <w:tc>
          <w:tcPr>
            <w:tcW w:w="2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91DC9C"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EVENTUALES</w:t>
            </w:r>
          </w:p>
        </w:tc>
        <w:tc>
          <w:tcPr>
            <w:tcW w:w="1302" w:type="dxa"/>
            <w:vMerge/>
            <w:tcBorders>
              <w:top w:val="single" w:sz="4" w:space="0" w:color="auto"/>
              <w:left w:val="single" w:sz="4" w:space="0" w:color="auto"/>
              <w:bottom w:val="single" w:sz="4" w:space="0" w:color="000000"/>
              <w:right w:val="single" w:sz="4" w:space="0" w:color="auto"/>
            </w:tcBorders>
            <w:vAlign w:val="center"/>
            <w:hideMark/>
          </w:tcPr>
          <w:p w14:paraId="7EC91F8A" w14:textId="77777777" w:rsidR="00E224F1" w:rsidRPr="00E224F1" w:rsidRDefault="00E224F1" w:rsidP="00E224F1">
            <w:pPr>
              <w:spacing w:before="0" w:after="0"/>
              <w:rPr>
                <w:rFonts w:cs="Arial"/>
                <w:b/>
                <w:bCs/>
                <w:sz w:val="20"/>
                <w:szCs w:val="20"/>
                <w:lang w:val="es-ES_tradnl" w:eastAsia="en-US"/>
              </w:rPr>
            </w:pPr>
          </w:p>
        </w:tc>
      </w:tr>
      <w:tr w:rsidR="00E224F1" w:rsidRPr="00E224F1" w14:paraId="21779D8D" w14:textId="77777777" w:rsidTr="00083C7C">
        <w:trPr>
          <w:trHeight w:val="260"/>
        </w:trPr>
        <w:tc>
          <w:tcPr>
            <w:tcW w:w="2862" w:type="dxa"/>
            <w:tcBorders>
              <w:top w:val="nil"/>
              <w:left w:val="single" w:sz="4" w:space="0" w:color="auto"/>
              <w:bottom w:val="single" w:sz="4" w:space="0" w:color="auto"/>
              <w:right w:val="nil"/>
            </w:tcBorders>
            <w:shd w:val="clear" w:color="auto" w:fill="auto"/>
            <w:noWrap/>
            <w:vAlign w:val="bottom"/>
            <w:hideMark/>
          </w:tcPr>
          <w:p w14:paraId="1E5B08FA" w14:textId="77777777" w:rsidR="00E224F1" w:rsidRPr="00E224F1" w:rsidRDefault="00E224F1" w:rsidP="00E224F1">
            <w:pPr>
              <w:spacing w:before="0" w:after="0"/>
              <w:jc w:val="center"/>
              <w:rPr>
                <w:rFonts w:cs="Arial"/>
                <w:b/>
                <w:bCs/>
                <w:sz w:val="20"/>
                <w:szCs w:val="20"/>
                <w:lang w:val="es-ES_tradnl" w:eastAsia="en-US"/>
              </w:rPr>
            </w:pPr>
            <w:r w:rsidRPr="00E224F1">
              <w:rPr>
                <w:rFonts w:cs="Arial"/>
                <w:b/>
                <w:bCs/>
                <w:sz w:val="20"/>
                <w:szCs w:val="20"/>
                <w:lang w:val="es-ES_tradnl" w:eastAsia="en-US"/>
              </w:rPr>
              <w:t> </w:t>
            </w:r>
          </w:p>
        </w:tc>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574112D"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HOMBRES</w:t>
            </w:r>
          </w:p>
        </w:tc>
        <w:tc>
          <w:tcPr>
            <w:tcW w:w="1011" w:type="dxa"/>
            <w:tcBorders>
              <w:top w:val="nil"/>
              <w:left w:val="nil"/>
              <w:bottom w:val="single" w:sz="4" w:space="0" w:color="auto"/>
              <w:right w:val="single" w:sz="4" w:space="0" w:color="auto"/>
            </w:tcBorders>
            <w:shd w:val="clear" w:color="auto" w:fill="auto"/>
            <w:noWrap/>
            <w:vAlign w:val="bottom"/>
            <w:hideMark/>
          </w:tcPr>
          <w:p w14:paraId="70C3A138"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MUJER</w:t>
            </w:r>
          </w:p>
        </w:tc>
        <w:tc>
          <w:tcPr>
            <w:tcW w:w="1241" w:type="dxa"/>
            <w:tcBorders>
              <w:top w:val="nil"/>
              <w:left w:val="nil"/>
              <w:bottom w:val="single" w:sz="4" w:space="0" w:color="auto"/>
              <w:right w:val="single" w:sz="4" w:space="0" w:color="auto"/>
            </w:tcBorders>
            <w:shd w:val="clear" w:color="auto" w:fill="auto"/>
            <w:noWrap/>
            <w:vAlign w:val="bottom"/>
            <w:hideMark/>
          </w:tcPr>
          <w:p w14:paraId="1C0CD230"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HOMBRES</w:t>
            </w:r>
          </w:p>
        </w:tc>
        <w:tc>
          <w:tcPr>
            <w:tcW w:w="1011" w:type="dxa"/>
            <w:tcBorders>
              <w:top w:val="nil"/>
              <w:left w:val="nil"/>
              <w:bottom w:val="single" w:sz="4" w:space="0" w:color="auto"/>
              <w:right w:val="single" w:sz="4" w:space="0" w:color="auto"/>
            </w:tcBorders>
            <w:shd w:val="clear" w:color="auto" w:fill="auto"/>
            <w:noWrap/>
            <w:vAlign w:val="bottom"/>
            <w:hideMark/>
          </w:tcPr>
          <w:p w14:paraId="32E84432"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MUJER</w:t>
            </w:r>
          </w:p>
        </w:tc>
        <w:tc>
          <w:tcPr>
            <w:tcW w:w="1302" w:type="dxa"/>
            <w:vMerge/>
            <w:tcBorders>
              <w:top w:val="single" w:sz="4" w:space="0" w:color="auto"/>
              <w:left w:val="single" w:sz="4" w:space="0" w:color="auto"/>
              <w:bottom w:val="single" w:sz="4" w:space="0" w:color="000000"/>
              <w:right w:val="single" w:sz="4" w:space="0" w:color="auto"/>
            </w:tcBorders>
            <w:vAlign w:val="center"/>
            <w:hideMark/>
          </w:tcPr>
          <w:p w14:paraId="138CF3F4" w14:textId="77777777" w:rsidR="00E224F1" w:rsidRPr="00E224F1" w:rsidRDefault="00E224F1" w:rsidP="00E224F1">
            <w:pPr>
              <w:spacing w:before="0" w:after="0"/>
              <w:rPr>
                <w:rFonts w:cs="Arial"/>
                <w:b/>
                <w:bCs/>
                <w:sz w:val="20"/>
                <w:szCs w:val="20"/>
                <w:lang w:val="es-ES_tradnl" w:eastAsia="en-US"/>
              </w:rPr>
            </w:pPr>
          </w:p>
        </w:tc>
      </w:tr>
      <w:tr w:rsidR="00083C7C" w:rsidRPr="00E224F1" w14:paraId="7ABD03F2" w14:textId="77777777" w:rsidTr="00083C7C">
        <w:trPr>
          <w:trHeight w:val="260"/>
        </w:trPr>
        <w:tc>
          <w:tcPr>
            <w:tcW w:w="2862" w:type="dxa"/>
            <w:tcBorders>
              <w:top w:val="nil"/>
              <w:left w:val="single" w:sz="4" w:space="0" w:color="auto"/>
              <w:bottom w:val="single" w:sz="4" w:space="0" w:color="auto"/>
              <w:right w:val="nil"/>
            </w:tcBorders>
            <w:shd w:val="clear" w:color="auto" w:fill="auto"/>
            <w:noWrap/>
            <w:vAlign w:val="bottom"/>
            <w:hideMark/>
          </w:tcPr>
          <w:p w14:paraId="04E3EFC3" w14:textId="34E5DAC3" w:rsidR="00083C7C" w:rsidRPr="00E224F1" w:rsidRDefault="00083C7C" w:rsidP="00083C7C">
            <w:pPr>
              <w:spacing w:before="0" w:after="0"/>
              <w:rPr>
                <w:rFonts w:cs="Arial"/>
                <w:sz w:val="20"/>
                <w:szCs w:val="20"/>
                <w:lang w:val="es-ES_tradnl" w:eastAsia="en-US"/>
              </w:rPr>
            </w:pPr>
            <w:r>
              <w:rPr>
                <w:rFonts w:cs="Arial"/>
                <w:sz w:val="20"/>
                <w:szCs w:val="20"/>
              </w:rPr>
              <w:t>Comercial</w:t>
            </w:r>
          </w:p>
        </w:tc>
        <w:tc>
          <w:tcPr>
            <w:tcW w:w="124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71AE88" w14:textId="1AC9FB63" w:rsidR="00083C7C" w:rsidRPr="00E224F1" w:rsidRDefault="00083C7C" w:rsidP="004A0796">
            <w:pPr>
              <w:spacing w:before="0" w:after="0"/>
              <w:jc w:val="center"/>
              <w:rPr>
                <w:rFonts w:cs="Arial"/>
                <w:sz w:val="16"/>
                <w:szCs w:val="16"/>
                <w:lang w:val="es-ES_tradnl" w:eastAsia="en-US"/>
              </w:rPr>
            </w:pPr>
            <w:r>
              <w:rPr>
                <w:rFonts w:cs="Arial"/>
                <w:sz w:val="20"/>
                <w:szCs w:val="20"/>
              </w:rPr>
              <w:t>0,</w:t>
            </w:r>
            <w:r w:rsidR="004A0796">
              <w:rPr>
                <w:rFonts w:cs="Arial"/>
                <w:sz w:val="20"/>
                <w:szCs w:val="20"/>
              </w:rPr>
              <w:t>4</w:t>
            </w:r>
            <w:r>
              <w:rPr>
                <w:rFonts w:cs="Arial"/>
                <w:sz w:val="20"/>
                <w:szCs w:val="20"/>
              </w:rPr>
              <w:t>50</w:t>
            </w:r>
          </w:p>
        </w:tc>
        <w:tc>
          <w:tcPr>
            <w:tcW w:w="1011" w:type="dxa"/>
            <w:tcBorders>
              <w:top w:val="single" w:sz="4" w:space="0" w:color="auto"/>
              <w:left w:val="nil"/>
              <w:bottom w:val="single" w:sz="4" w:space="0" w:color="auto"/>
              <w:right w:val="single" w:sz="4" w:space="0" w:color="auto"/>
            </w:tcBorders>
            <w:shd w:val="clear" w:color="000000" w:fill="D9D9D9"/>
            <w:noWrap/>
            <w:vAlign w:val="bottom"/>
            <w:hideMark/>
          </w:tcPr>
          <w:p w14:paraId="1F417512" w14:textId="2F8964DD" w:rsidR="00083C7C" w:rsidRPr="00E224F1" w:rsidRDefault="004A0796" w:rsidP="00083C7C">
            <w:pPr>
              <w:spacing w:before="0" w:after="0"/>
              <w:jc w:val="center"/>
              <w:rPr>
                <w:rFonts w:cs="Arial"/>
                <w:sz w:val="16"/>
                <w:szCs w:val="16"/>
                <w:lang w:val="es-ES_tradnl" w:eastAsia="en-US"/>
              </w:rPr>
            </w:pPr>
            <w:r>
              <w:rPr>
                <w:rFonts w:cs="Arial"/>
                <w:sz w:val="20"/>
                <w:szCs w:val="20"/>
              </w:rPr>
              <w:t>0,456</w:t>
            </w:r>
          </w:p>
        </w:tc>
        <w:tc>
          <w:tcPr>
            <w:tcW w:w="1241" w:type="dxa"/>
            <w:tcBorders>
              <w:top w:val="single" w:sz="4" w:space="0" w:color="auto"/>
              <w:left w:val="nil"/>
              <w:bottom w:val="single" w:sz="4" w:space="0" w:color="auto"/>
              <w:right w:val="single" w:sz="4" w:space="0" w:color="auto"/>
            </w:tcBorders>
            <w:shd w:val="clear" w:color="000000" w:fill="D9D9D9"/>
            <w:noWrap/>
            <w:vAlign w:val="bottom"/>
            <w:hideMark/>
          </w:tcPr>
          <w:p w14:paraId="2D34E8F7" w14:textId="430B44AF" w:rsidR="00083C7C" w:rsidRPr="00E224F1" w:rsidRDefault="00083C7C" w:rsidP="00083C7C">
            <w:pPr>
              <w:spacing w:before="0" w:after="0"/>
              <w:jc w:val="center"/>
              <w:rPr>
                <w:rFonts w:cs="Arial"/>
                <w:sz w:val="16"/>
                <w:szCs w:val="16"/>
                <w:lang w:val="es-ES_tradnl" w:eastAsia="en-US"/>
              </w:rPr>
            </w:pPr>
            <w:r>
              <w:rPr>
                <w:rFonts w:cs="Arial"/>
                <w:sz w:val="20"/>
                <w:szCs w:val="20"/>
              </w:rPr>
              <w:t> </w:t>
            </w:r>
          </w:p>
        </w:tc>
        <w:tc>
          <w:tcPr>
            <w:tcW w:w="1011" w:type="dxa"/>
            <w:tcBorders>
              <w:top w:val="single" w:sz="4" w:space="0" w:color="auto"/>
              <w:left w:val="nil"/>
              <w:bottom w:val="single" w:sz="4" w:space="0" w:color="auto"/>
              <w:right w:val="single" w:sz="4" w:space="0" w:color="auto"/>
            </w:tcBorders>
            <w:shd w:val="clear" w:color="000000" w:fill="D9D9D9"/>
            <w:noWrap/>
            <w:vAlign w:val="bottom"/>
            <w:hideMark/>
          </w:tcPr>
          <w:p w14:paraId="61DA12C3" w14:textId="73727E9A" w:rsidR="00083C7C" w:rsidRPr="00E224F1" w:rsidRDefault="00083C7C" w:rsidP="00083C7C">
            <w:pPr>
              <w:spacing w:before="0" w:after="0"/>
              <w:jc w:val="center"/>
              <w:rPr>
                <w:rFonts w:cs="Arial"/>
                <w:sz w:val="16"/>
                <w:szCs w:val="16"/>
                <w:lang w:val="es-ES_tradnl" w:eastAsia="en-US"/>
              </w:rPr>
            </w:pPr>
            <w:r>
              <w:rPr>
                <w:rFonts w:cs="Arial"/>
                <w:sz w:val="20"/>
                <w:szCs w:val="20"/>
              </w:rPr>
              <w:t> </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060EA42D" w14:textId="78436808" w:rsidR="00083C7C" w:rsidRPr="00E224F1" w:rsidRDefault="004A0796" w:rsidP="00083C7C">
            <w:pPr>
              <w:spacing w:before="0" w:after="0"/>
              <w:jc w:val="right"/>
              <w:rPr>
                <w:rFonts w:cs="Arial"/>
                <w:sz w:val="20"/>
                <w:szCs w:val="20"/>
                <w:lang w:val="es-ES_tradnl" w:eastAsia="en-US"/>
              </w:rPr>
            </w:pPr>
            <w:r>
              <w:rPr>
                <w:rFonts w:cs="Arial"/>
                <w:sz w:val="20"/>
                <w:szCs w:val="20"/>
              </w:rPr>
              <w:fldChar w:fldCharType="begin"/>
            </w:r>
            <w:r>
              <w:rPr>
                <w:rFonts w:cs="Arial"/>
                <w:sz w:val="20"/>
                <w:szCs w:val="20"/>
              </w:rPr>
              <w:instrText xml:space="preserve"> =SUM(LEFT) </w:instrText>
            </w:r>
            <w:r>
              <w:rPr>
                <w:rFonts w:cs="Arial"/>
                <w:sz w:val="20"/>
                <w:szCs w:val="20"/>
              </w:rPr>
              <w:fldChar w:fldCharType="separate"/>
            </w:r>
            <w:r w:rsidR="00E11EEC">
              <w:rPr>
                <w:rFonts w:cs="Arial"/>
                <w:noProof/>
                <w:sz w:val="20"/>
                <w:szCs w:val="20"/>
              </w:rPr>
              <w:t>0,906</w:t>
            </w:r>
            <w:r>
              <w:rPr>
                <w:rFonts w:cs="Arial"/>
                <w:sz w:val="20"/>
                <w:szCs w:val="20"/>
              </w:rPr>
              <w:fldChar w:fldCharType="end"/>
            </w:r>
          </w:p>
        </w:tc>
      </w:tr>
      <w:tr w:rsidR="004A0796" w:rsidRPr="00E224F1" w14:paraId="689C248B"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404D648F" w14:textId="46105C8E" w:rsidR="004A0796" w:rsidRPr="00E224F1" w:rsidRDefault="004A0796" w:rsidP="004A0796">
            <w:pPr>
              <w:spacing w:before="0" w:after="0"/>
              <w:rPr>
                <w:rFonts w:cs="Arial"/>
                <w:sz w:val="20"/>
                <w:szCs w:val="20"/>
                <w:lang w:val="es-ES_tradnl" w:eastAsia="en-US"/>
              </w:rPr>
            </w:pPr>
            <w:r>
              <w:rPr>
                <w:rFonts w:cs="Arial"/>
                <w:sz w:val="20"/>
                <w:szCs w:val="20"/>
              </w:rPr>
              <w:t>Dirección</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74178F59" w14:textId="79ABBBA7" w:rsidR="004A0796" w:rsidRPr="00E224F1" w:rsidRDefault="004A0796" w:rsidP="004A0796">
            <w:pPr>
              <w:spacing w:before="0" w:after="0"/>
              <w:jc w:val="center"/>
              <w:rPr>
                <w:rFonts w:cs="Arial"/>
                <w:sz w:val="16"/>
                <w:szCs w:val="16"/>
                <w:lang w:val="es-ES_tradnl" w:eastAsia="en-US"/>
              </w:rPr>
            </w:pPr>
            <w:r>
              <w:rPr>
                <w:rFonts w:cs="Arial"/>
                <w:sz w:val="20"/>
                <w:szCs w:val="20"/>
              </w:rPr>
              <w:t>1,000</w:t>
            </w:r>
          </w:p>
        </w:tc>
        <w:tc>
          <w:tcPr>
            <w:tcW w:w="1011" w:type="dxa"/>
            <w:tcBorders>
              <w:top w:val="nil"/>
              <w:left w:val="nil"/>
              <w:bottom w:val="single" w:sz="4" w:space="0" w:color="auto"/>
              <w:right w:val="single" w:sz="4" w:space="0" w:color="auto"/>
            </w:tcBorders>
            <w:shd w:val="clear" w:color="000000" w:fill="D9D9D9"/>
            <w:noWrap/>
            <w:vAlign w:val="bottom"/>
            <w:hideMark/>
          </w:tcPr>
          <w:p w14:paraId="46E33B86" w14:textId="23D87553" w:rsidR="004A0796" w:rsidRPr="00E224F1" w:rsidRDefault="004A0796" w:rsidP="004A0796">
            <w:pPr>
              <w:spacing w:before="0" w:after="0"/>
              <w:jc w:val="center"/>
              <w:rPr>
                <w:rFonts w:cs="Arial"/>
                <w:sz w:val="16"/>
                <w:szCs w:val="16"/>
                <w:lang w:val="es-ES_tradnl" w:eastAsia="en-US"/>
              </w:rPr>
            </w:pPr>
            <w:r>
              <w:rPr>
                <w:rFonts w:cs="Arial"/>
                <w:sz w:val="20"/>
                <w:szCs w:val="20"/>
              </w:rPr>
              <w:t>1,458</w:t>
            </w:r>
          </w:p>
        </w:tc>
        <w:tc>
          <w:tcPr>
            <w:tcW w:w="1241" w:type="dxa"/>
            <w:tcBorders>
              <w:top w:val="nil"/>
              <w:left w:val="nil"/>
              <w:bottom w:val="single" w:sz="4" w:space="0" w:color="auto"/>
              <w:right w:val="single" w:sz="4" w:space="0" w:color="auto"/>
            </w:tcBorders>
            <w:shd w:val="clear" w:color="000000" w:fill="D9D9D9"/>
            <w:noWrap/>
            <w:vAlign w:val="bottom"/>
            <w:hideMark/>
          </w:tcPr>
          <w:p w14:paraId="166F56A1" w14:textId="075B6523" w:rsidR="004A0796" w:rsidRPr="00E224F1" w:rsidRDefault="004A0796" w:rsidP="004A0796">
            <w:pPr>
              <w:spacing w:before="0" w:after="0"/>
              <w:jc w:val="center"/>
              <w:rPr>
                <w:rFonts w:cs="Arial"/>
                <w:sz w:val="16"/>
                <w:szCs w:val="16"/>
                <w:lang w:val="es-ES_tradnl" w:eastAsia="en-US"/>
              </w:rPr>
            </w:pPr>
            <w:r>
              <w:rPr>
                <w:rFonts w:cs="Arial"/>
                <w:sz w:val="20"/>
                <w:szCs w:val="20"/>
              </w:rPr>
              <w:t> </w:t>
            </w:r>
          </w:p>
        </w:tc>
        <w:tc>
          <w:tcPr>
            <w:tcW w:w="1011" w:type="dxa"/>
            <w:tcBorders>
              <w:top w:val="nil"/>
              <w:left w:val="nil"/>
              <w:bottom w:val="single" w:sz="4" w:space="0" w:color="auto"/>
              <w:right w:val="single" w:sz="4" w:space="0" w:color="auto"/>
            </w:tcBorders>
            <w:shd w:val="clear" w:color="000000" w:fill="D9D9D9"/>
            <w:noWrap/>
            <w:vAlign w:val="bottom"/>
            <w:hideMark/>
          </w:tcPr>
          <w:p w14:paraId="485B14E3" w14:textId="3437933A" w:rsidR="004A0796" w:rsidRPr="00E224F1" w:rsidRDefault="004A0796" w:rsidP="004A0796">
            <w:pPr>
              <w:spacing w:before="0" w:after="0"/>
              <w:jc w:val="center"/>
              <w:rPr>
                <w:rFonts w:cs="Arial"/>
                <w:sz w:val="16"/>
                <w:szCs w:val="16"/>
                <w:lang w:val="es-ES_tradnl" w:eastAsia="en-US"/>
              </w:rPr>
            </w:pPr>
            <w:r>
              <w:rPr>
                <w:rFonts w:cs="Arial"/>
                <w:sz w:val="20"/>
                <w:szCs w:val="20"/>
              </w:rPr>
              <w:t> </w:t>
            </w:r>
          </w:p>
        </w:tc>
        <w:tc>
          <w:tcPr>
            <w:tcW w:w="1302" w:type="dxa"/>
            <w:tcBorders>
              <w:top w:val="nil"/>
              <w:left w:val="nil"/>
              <w:bottom w:val="single" w:sz="4" w:space="0" w:color="auto"/>
              <w:right w:val="single" w:sz="4" w:space="0" w:color="auto"/>
            </w:tcBorders>
            <w:shd w:val="clear" w:color="auto" w:fill="auto"/>
            <w:noWrap/>
            <w:hideMark/>
          </w:tcPr>
          <w:p w14:paraId="693D1D5B" w14:textId="550FC104"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2,458</w:t>
            </w:r>
            <w:r w:rsidRPr="008F5287">
              <w:rPr>
                <w:rFonts w:cs="Arial"/>
                <w:sz w:val="20"/>
                <w:szCs w:val="20"/>
              </w:rPr>
              <w:fldChar w:fldCharType="end"/>
            </w:r>
          </w:p>
        </w:tc>
      </w:tr>
      <w:tr w:rsidR="004A0796" w:rsidRPr="00E224F1" w14:paraId="4999E8D2"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4932C555" w14:textId="4299B787" w:rsidR="004A0796" w:rsidRPr="00E224F1" w:rsidRDefault="004A0796" w:rsidP="004A0796">
            <w:pPr>
              <w:spacing w:before="0" w:after="0"/>
              <w:rPr>
                <w:rFonts w:cs="Arial"/>
                <w:sz w:val="20"/>
                <w:szCs w:val="20"/>
                <w:lang w:val="es-ES_tradnl" w:eastAsia="en-US"/>
              </w:rPr>
            </w:pPr>
            <w:r>
              <w:rPr>
                <w:rFonts w:cs="Arial"/>
                <w:sz w:val="20"/>
                <w:szCs w:val="20"/>
              </w:rPr>
              <w:t>Administración</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3BC929BE" w14:textId="29FC6045" w:rsidR="004A0796" w:rsidRPr="00E224F1" w:rsidRDefault="004A0796" w:rsidP="004A0796">
            <w:pPr>
              <w:spacing w:before="0" w:after="0"/>
              <w:jc w:val="center"/>
              <w:rPr>
                <w:rFonts w:cs="Arial"/>
                <w:sz w:val="16"/>
                <w:szCs w:val="16"/>
                <w:lang w:val="es-ES_tradnl" w:eastAsia="en-US"/>
              </w:rPr>
            </w:pPr>
            <w:r>
              <w:rPr>
                <w:rFonts w:cs="Arial"/>
                <w:sz w:val="20"/>
                <w:szCs w:val="20"/>
              </w:rPr>
              <w:t>0,458</w:t>
            </w:r>
          </w:p>
        </w:tc>
        <w:tc>
          <w:tcPr>
            <w:tcW w:w="1011" w:type="dxa"/>
            <w:tcBorders>
              <w:top w:val="nil"/>
              <w:left w:val="nil"/>
              <w:bottom w:val="single" w:sz="4" w:space="0" w:color="auto"/>
              <w:right w:val="single" w:sz="4" w:space="0" w:color="auto"/>
            </w:tcBorders>
            <w:shd w:val="clear" w:color="000000" w:fill="D9D9D9"/>
            <w:noWrap/>
            <w:vAlign w:val="bottom"/>
            <w:hideMark/>
          </w:tcPr>
          <w:p w14:paraId="2F532C06" w14:textId="361E942C" w:rsidR="004A0796" w:rsidRPr="00E224F1" w:rsidRDefault="004A0796" w:rsidP="004A0796">
            <w:pPr>
              <w:spacing w:before="0" w:after="0"/>
              <w:jc w:val="center"/>
              <w:rPr>
                <w:rFonts w:cs="Arial"/>
                <w:sz w:val="16"/>
                <w:szCs w:val="16"/>
                <w:lang w:val="es-ES_tradnl" w:eastAsia="en-US"/>
              </w:rPr>
            </w:pPr>
            <w:r>
              <w:rPr>
                <w:rFonts w:cs="Arial"/>
                <w:sz w:val="20"/>
                <w:szCs w:val="20"/>
              </w:rPr>
              <w:t>1,200</w:t>
            </w:r>
          </w:p>
        </w:tc>
        <w:tc>
          <w:tcPr>
            <w:tcW w:w="1241" w:type="dxa"/>
            <w:tcBorders>
              <w:top w:val="nil"/>
              <w:left w:val="nil"/>
              <w:bottom w:val="single" w:sz="4" w:space="0" w:color="auto"/>
              <w:right w:val="single" w:sz="4" w:space="0" w:color="auto"/>
            </w:tcBorders>
            <w:shd w:val="clear" w:color="000000" w:fill="D9D9D9"/>
            <w:noWrap/>
            <w:vAlign w:val="bottom"/>
            <w:hideMark/>
          </w:tcPr>
          <w:p w14:paraId="24CCBF64" w14:textId="754C792A" w:rsidR="004A0796" w:rsidRPr="00E224F1" w:rsidRDefault="004A0796" w:rsidP="004A0796">
            <w:pPr>
              <w:spacing w:before="0" w:after="0"/>
              <w:jc w:val="center"/>
              <w:rPr>
                <w:rFonts w:cs="Arial"/>
                <w:sz w:val="16"/>
                <w:szCs w:val="16"/>
                <w:lang w:val="es-ES_tradnl" w:eastAsia="en-US"/>
              </w:rPr>
            </w:pPr>
            <w:r>
              <w:rPr>
                <w:rFonts w:cs="Arial"/>
                <w:sz w:val="20"/>
                <w:szCs w:val="20"/>
              </w:rPr>
              <w:t>0,459</w:t>
            </w:r>
          </w:p>
        </w:tc>
        <w:tc>
          <w:tcPr>
            <w:tcW w:w="1011" w:type="dxa"/>
            <w:tcBorders>
              <w:top w:val="nil"/>
              <w:left w:val="nil"/>
              <w:bottom w:val="single" w:sz="4" w:space="0" w:color="auto"/>
              <w:right w:val="single" w:sz="4" w:space="0" w:color="auto"/>
            </w:tcBorders>
            <w:shd w:val="clear" w:color="000000" w:fill="D9D9D9"/>
            <w:noWrap/>
            <w:vAlign w:val="bottom"/>
            <w:hideMark/>
          </w:tcPr>
          <w:p w14:paraId="5DD737AB" w14:textId="382944B0" w:rsidR="004A0796" w:rsidRPr="00E224F1" w:rsidRDefault="004A0796" w:rsidP="004A0796">
            <w:pPr>
              <w:spacing w:before="0" w:after="0"/>
              <w:jc w:val="center"/>
              <w:rPr>
                <w:rFonts w:cs="Arial"/>
                <w:sz w:val="16"/>
                <w:szCs w:val="16"/>
                <w:lang w:val="es-ES_tradnl" w:eastAsia="en-US"/>
              </w:rPr>
            </w:pPr>
            <w:r>
              <w:rPr>
                <w:rFonts w:cs="Arial"/>
                <w:sz w:val="20"/>
                <w:szCs w:val="20"/>
              </w:rPr>
              <w:t>0,250</w:t>
            </w:r>
          </w:p>
        </w:tc>
        <w:tc>
          <w:tcPr>
            <w:tcW w:w="1302" w:type="dxa"/>
            <w:tcBorders>
              <w:top w:val="nil"/>
              <w:left w:val="nil"/>
              <w:bottom w:val="single" w:sz="4" w:space="0" w:color="auto"/>
              <w:right w:val="single" w:sz="4" w:space="0" w:color="auto"/>
            </w:tcBorders>
            <w:shd w:val="clear" w:color="auto" w:fill="auto"/>
            <w:noWrap/>
            <w:hideMark/>
          </w:tcPr>
          <w:p w14:paraId="247F7AE2" w14:textId="5A52631D"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2,367</w:t>
            </w:r>
            <w:r w:rsidRPr="008F5287">
              <w:rPr>
                <w:rFonts w:cs="Arial"/>
                <w:sz w:val="20"/>
                <w:szCs w:val="20"/>
              </w:rPr>
              <w:fldChar w:fldCharType="end"/>
            </w:r>
          </w:p>
        </w:tc>
      </w:tr>
      <w:tr w:rsidR="004A0796" w:rsidRPr="00E224F1" w14:paraId="6513CD29"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3085AD63" w14:textId="4ED27253" w:rsidR="004A0796" w:rsidRPr="00E224F1" w:rsidRDefault="004A0796" w:rsidP="004A0796">
            <w:pPr>
              <w:spacing w:before="0" w:after="0"/>
              <w:rPr>
                <w:rFonts w:cs="Arial"/>
                <w:sz w:val="20"/>
                <w:szCs w:val="20"/>
                <w:lang w:val="es-ES_tradnl" w:eastAsia="en-US"/>
              </w:rPr>
            </w:pPr>
            <w:r>
              <w:rPr>
                <w:rFonts w:cs="Arial"/>
                <w:sz w:val="20"/>
                <w:szCs w:val="20"/>
              </w:rPr>
              <w:t>Economato</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1359746D" w14:textId="1BA78BB7" w:rsidR="004A0796" w:rsidRPr="00E224F1" w:rsidRDefault="004A0796" w:rsidP="004A0796">
            <w:pPr>
              <w:spacing w:before="0" w:after="0"/>
              <w:jc w:val="center"/>
              <w:rPr>
                <w:rFonts w:cs="Arial"/>
                <w:sz w:val="16"/>
                <w:szCs w:val="16"/>
                <w:lang w:val="es-ES_tradnl" w:eastAsia="en-US"/>
              </w:rPr>
            </w:pPr>
            <w:r>
              <w:rPr>
                <w:rFonts w:cs="Arial"/>
                <w:sz w:val="20"/>
                <w:szCs w:val="20"/>
              </w:rPr>
              <w:t>1,500</w:t>
            </w:r>
          </w:p>
        </w:tc>
        <w:tc>
          <w:tcPr>
            <w:tcW w:w="1011" w:type="dxa"/>
            <w:tcBorders>
              <w:top w:val="nil"/>
              <w:left w:val="nil"/>
              <w:bottom w:val="single" w:sz="4" w:space="0" w:color="auto"/>
              <w:right w:val="single" w:sz="4" w:space="0" w:color="auto"/>
            </w:tcBorders>
            <w:shd w:val="clear" w:color="000000" w:fill="D9D9D9"/>
            <w:noWrap/>
            <w:vAlign w:val="bottom"/>
            <w:hideMark/>
          </w:tcPr>
          <w:p w14:paraId="69D43BAF" w14:textId="3A038AC4" w:rsidR="004A0796" w:rsidRPr="00E224F1" w:rsidRDefault="004A0796" w:rsidP="004A0796">
            <w:pPr>
              <w:spacing w:before="0" w:after="0"/>
              <w:jc w:val="center"/>
              <w:rPr>
                <w:rFonts w:cs="Arial"/>
                <w:sz w:val="16"/>
                <w:szCs w:val="16"/>
                <w:lang w:val="es-ES_tradnl" w:eastAsia="en-US"/>
              </w:rPr>
            </w:pPr>
            <w:r>
              <w:rPr>
                <w:rFonts w:cs="Arial"/>
                <w:sz w:val="20"/>
                <w:szCs w:val="20"/>
              </w:rPr>
              <w:t>1,000</w:t>
            </w:r>
          </w:p>
        </w:tc>
        <w:tc>
          <w:tcPr>
            <w:tcW w:w="1241" w:type="dxa"/>
            <w:tcBorders>
              <w:top w:val="nil"/>
              <w:left w:val="nil"/>
              <w:bottom w:val="single" w:sz="4" w:space="0" w:color="auto"/>
              <w:right w:val="single" w:sz="4" w:space="0" w:color="auto"/>
            </w:tcBorders>
            <w:shd w:val="clear" w:color="000000" w:fill="D9D9D9"/>
            <w:noWrap/>
            <w:vAlign w:val="bottom"/>
            <w:hideMark/>
          </w:tcPr>
          <w:p w14:paraId="0E028A5C" w14:textId="087F1DED"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011" w:type="dxa"/>
            <w:tcBorders>
              <w:top w:val="nil"/>
              <w:left w:val="nil"/>
              <w:bottom w:val="single" w:sz="4" w:space="0" w:color="auto"/>
              <w:right w:val="single" w:sz="4" w:space="0" w:color="auto"/>
            </w:tcBorders>
            <w:shd w:val="clear" w:color="000000" w:fill="D9D9D9"/>
            <w:noWrap/>
            <w:vAlign w:val="bottom"/>
            <w:hideMark/>
          </w:tcPr>
          <w:p w14:paraId="1282A079" w14:textId="7548E910"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302" w:type="dxa"/>
            <w:tcBorders>
              <w:top w:val="nil"/>
              <w:left w:val="nil"/>
              <w:bottom w:val="single" w:sz="4" w:space="0" w:color="auto"/>
              <w:right w:val="single" w:sz="4" w:space="0" w:color="auto"/>
            </w:tcBorders>
            <w:shd w:val="clear" w:color="auto" w:fill="auto"/>
            <w:noWrap/>
            <w:hideMark/>
          </w:tcPr>
          <w:p w14:paraId="38530C83" w14:textId="4E096306" w:rsidR="004A0796" w:rsidRPr="00E224F1" w:rsidRDefault="004A0796" w:rsidP="004A0796">
            <w:pPr>
              <w:spacing w:before="0" w:after="0"/>
              <w:jc w:val="right"/>
              <w:rPr>
                <w:rFonts w:cs="Arial"/>
                <w:sz w:val="20"/>
                <w:szCs w:val="20"/>
                <w:lang w:val="es-ES_tradnl" w:eastAsia="en-US"/>
              </w:rPr>
            </w:pPr>
            <w:r>
              <w:rPr>
                <w:rFonts w:cs="Arial"/>
                <w:sz w:val="20"/>
                <w:szCs w:val="20"/>
              </w:rPr>
              <w:fldChar w:fldCharType="begin"/>
            </w:r>
            <w:r>
              <w:rPr>
                <w:rFonts w:cs="Arial"/>
                <w:sz w:val="20"/>
                <w:szCs w:val="20"/>
              </w:rPr>
              <w:instrText xml:space="preserve"> =SUM(LEFT) \# "#.##0,00" </w:instrText>
            </w:r>
            <w:r>
              <w:rPr>
                <w:rFonts w:cs="Arial"/>
                <w:sz w:val="20"/>
                <w:szCs w:val="20"/>
              </w:rPr>
              <w:fldChar w:fldCharType="separate"/>
            </w:r>
            <w:r w:rsidR="00E11EEC">
              <w:rPr>
                <w:rFonts w:cs="Arial"/>
                <w:noProof/>
                <w:sz w:val="20"/>
                <w:szCs w:val="20"/>
              </w:rPr>
              <w:t xml:space="preserve">   2,50</w:t>
            </w:r>
            <w:r>
              <w:rPr>
                <w:rFonts w:cs="Arial"/>
                <w:sz w:val="20"/>
                <w:szCs w:val="20"/>
              </w:rPr>
              <w:fldChar w:fldCharType="end"/>
            </w:r>
          </w:p>
        </w:tc>
      </w:tr>
      <w:tr w:rsidR="004A0796" w:rsidRPr="00E224F1" w14:paraId="6DA840F6"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43B29A5A" w14:textId="74405EEA" w:rsidR="004A0796" w:rsidRPr="00E224F1" w:rsidRDefault="004A0796" w:rsidP="004A0796">
            <w:pPr>
              <w:spacing w:before="0" w:after="0"/>
              <w:rPr>
                <w:rFonts w:cs="Arial"/>
                <w:sz w:val="20"/>
                <w:szCs w:val="20"/>
                <w:lang w:val="es-ES_tradnl" w:eastAsia="en-US"/>
              </w:rPr>
            </w:pPr>
            <w:r>
              <w:rPr>
                <w:rFonts w:cs="Arial"/>
                <w:sz w:val="20"/>
                <w:szCs w:val="20"/>
              </w:rPr>
              <w:t>Recepción y Conserjería</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35D83D39" w14:textId="545B8638" w:rsidR="004A0796" w:rsidRPr="00E224F1" w:rsidRDefault="004A0796" w:rsidP="004A0796">
            <w:pPr>
              <w:spacing w:before="0" w:after="0"/>
              <w:jc w:val="center"/>
              <w:rPr>
                <w:rFonts w:cs="Arial"/>
                <w:sz w:val="16"/>
                <w:szCs w:val="16"/>
                <w:lang w:val="es-ES_tradnl" w:eastAsia="en-US"/>
              </w:rPr>
            </w:pPr>
            <w:r>
              <w:rPr>
                <w:rFonts w:cs="Arial"/>
                <w:sz w:val="20"/>
                <w:szCs w:val="20"/>
              </w:rPr>
              <w:t>2,160</w:t>
            </w:r>
          </w:p>
        </w:tc>
        <w:tc>
          <w:tcPr>
            <w:tcW w:w="1011" w:type="dxa"/>
            <w:tcBorders>
              <w:top w:val="nil"/>
              <w:left w:val="nil"/>
              <w:bottom w:val="single" w:sz="4" w:space="0" w:color="auto"/>
              <w:right w:val="single" w:sz="4" w:space="0" w:color="auto"/>
            </w:tcBorders>
            <w:shd w:val="clear" w:color="000000" w:fill="D9D9D9"/>
            <w:noWrap/>
            <w:vAlign w:val="bottom"/>
            <w:hideMark/>
          </w:tcPr>
          <w:p w14:paraId="43B174F8" w14:textId="219C361F" w:rsidR="004A0796" w:rsidRPr="00E224F1" w:rsidRDefault="004A0796" w:rsidP="004A0796">
            <w:pPr>
              <w:spacing w:before="0" w:after="0"/>
              <w:jc w:val="center"/>
              <w:rPr>
                <w:rFonts w:cs="Arial"/>
                <w:sz w:val="16"/>
                <w:szCs w:val="16"/>
                <w:lang w:val="es-ES_tradnl" w:eastAsia="en-US"/>
              </w:rPr>
            </w:pPr>
            <w:r>
              <w:rPr>
                <w:rFonts w:cs="Arial"/>
                <w:sz w:val="20"/>
                <w:szCs w:val="20"/>
              </w:rPr>
              <w:t>2,483</w:t>
            </w:r>
          </w:p>
        </w:tc>
        <w:tc>
          <w:tcPr>
            <w:tcW w:w="1241" w:type="dxa"/>
            <w:tcBorders>
              <w:top w:val="nil"/>
              <w:left w:val="nil"/>
              <w:bottom w:val="single" w:sz="4" w:space="0" w:color="auto"/>
              <w:right w:val="single" w:sz="4" w:space="0" w:color="auto"/>
            </w:tcBorders>
            <w:shd w:val="clear" w:color="000000" w:fill="D9D9D9"/>
            <w:noWrap/>
            <w:vAlign w:val="bottom"/>
            <w:hideMark/>
          </w:tcPr>
          <w:p w14:paraId="09E12FF4" w14:textId="0C868970" w:rsidR="004A0796" w:rsidRPr="00E224F1" w:rsidRDefault="004A0796" w:rsidP="004A0796">
            <w:pPr>
              <w:spacing w:before="0" w:after="0"/>
              <w:jc w:val="center"/>
              <w:rPr>
                <w:rFonts w:cs="Arial"/>
                <w:sz w:val="16"/>
                <w:szCs w:val="16"/>
                <w:lang w:val="es-ES_tradnl" w:eastAsia="en-US"/>
              </w:rPr>
            </w:pPr>
            <w:r>
              <w:rPr>
                <w:rFonts w:cs="Arial"/>
                <w:sz w:val="20"/>
                <w:szCs w:val="20"/>
              </w:rPr>
              <w:t>1,960</w:t>
            </w:r>
          </w:p>
        </w:tc>
        <w:tc>
          <w:tcPr>
            <w:tcW w:w="1011" w:type="dxa"/>
            <w:tcBorders>
              <w:top w:val="nil"/>
              <w:left w:val="nil"/>
              <w:bottom w:val="single" w:sz="4" w:space="0" w:color="auto"/>
              <w:right w:val="single" w:sz="4" w:space="0" w:color="auto"/>
            </w:tcBorders>
            <w:shd w:val="clear" w:color="000000" w:fill="D9D9D9"/>
            <w:noWrap/>
            <w:vAlign w:val="bottom"/>
            <w:hideMark/>
          </w:tcPr>
          <w:p w14:paraId="1EF95FA9" w14:textId="49021BA3" w:rsidR="004A0796" w:rsidRPr="00E224F1" w:rsidRDefault="004A0796" w:rsidP="004A0796">
            <w:pPr>
              <w:spacing w:before="0" w:after="0"/>
              <w:jc w:val="center"/>
              <w:rPr>
                <w:rFonts w:cs="Arial"/>
                <w:sz w:val="16"/>
                <w:szCs w:val="16"/>
                <w:lang w:val="es-ES_tradnl" w:eastAsia="en-US"/>
              </w:rPr>
            </w:pPr>
            <w:r>
              <w:rPr>
                <w:rFonts w:cs="Arial"/>
                <w:sz w:val="20"/>
                <w:szCs w:val="20"/>
              </w:rPr>
              <w:t>0,960</w:t>
            </w:r>
          </w:p>
        </w:tc>
        <w:tc>
          <w:tcPr>
            <w:tcW w:w="1302" w:type="dxa"/>
            <w:tcBorders>
              <w:top w:val="nil"/>
              <w:left w:val="nil"/>
              <w:bottom w:val="single" w:sz="4" w:space="0" w:color="auto"/>
              <w:right w:val="single" w:sz="4" w:space="0" w:color="auto"/>
            </w:tcBorders>
            <w:shd w:val="clear" w:color="auto" w:fill="auto"/>
            <w:noWrap/>
            <w:hideMark/>
          </w:tcPr>
          <w:p w14:paraId="5FD79CD3" w14:textId="0CDF0B83"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7,563</w:t>
            </w:r>
            <w:r w:rsidRPr="008F5287">
              <w:rPr>
                <w:rFonts w:cs="Arial"/>
                <w:sz w:val="20"/>
                <w:szCs w:val="20"/>
              </w:rPr>
              <w:fldChar w:fldCharType="end"/>
            </w:r>
          </w:p>
        </w:tc>
      </w:tr>
      <w:tr w:rsidR="004A0796" w:rsidRPr="00E224F1" w14:paraId="2EFC69E8"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6AD1164D" w14:textId="207C28AA" w:rsidR="004A0796" w:rsidRPr="00E224F1" w:rsidRDefault="004A0796" w:rsidP="004A0796">
            <w:pPr>
              <w:spacing w:before="0" w:after="0"/>
              <w:rPr>
                <w:rFonts w:cs="Arial"/>
                <w:sz w:val="20"/>
                <w:szCs w:val="20"/>
                <w:lang w:val="es-ES_tradnl" w:eastAsia="en-US"/>
              </w:rPr>
            </w:pPr>
            <w:r>
              <w:rPr>
                <w:rFonts w:cs="Arial"/>
                <w:sz w:val="20"/>
                <w:szCs w:val="20"/>
              </w:rPr>
              <w:t xml:space="preserve">Servicio Técnico </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72516867" w14:textId="461BEAE0" w:rsidR="004A0796" w:rsidRPr="00E224F1" w:rsidRDefault="004A0796" w:rsidP="004A0796">
            <w:pPr>
              <w:spacing w:before="0" w:after="0"/>
              <w:jc w:val="center"/>
              <w:rPr>
                <w:rFonts w:cs="Arial"/>
                <w:sz w:val="16"/>
                <w:szCs w:val="16"/>
                <w:lang w:val="es-ES_tradnl" w:eastAsia="en-US"/>
              </w:rPr>
            </w:pPr>
            <w:r>
              <w:rPr>
                <w:rFonts w:cs="Arial"/>
                <w:sz w:val="20"/>
                <w:szCs w:val="20"/>
              </w:rPr>
              <w:t>3,550</w:t>
            </w:r>
          </w:p>
        </w:tc>
        <w:tc>
          <w:tcPr>
            <w:tcW w:w="1011" w:type="dxa"/>
            <w:tcBorders>
              <w:top w:val="nil"/>
              <w:left w:val="nil"/>
              <w:bottom w:val="single" w:sz="4" w:space="0" w:color="auto"/>
              <w:right w:val="single" w:sz="4" w:space="0" w:color="auto"/>
            </w:tcBorders>
            <w:shd w:val="clear" w:color="000000" w:fill="D9D9D9"/>
            <w:noWrap/>
            <w:vAlign w:val="bottom"/>
            <w:hideMark/>
          </w:tcPr>
          <w:p w14:paraId="381F2EEE" w14:textId="0633484A"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241" w:type="dxa"/>
            <w:tcBorders>
              <w:top w:val="nil"/>
              <w:left w:val="nil"/>
              <w:bottom w:val="single" w:sz="4" w:space="0" w:color="auto"/>
              <w:right w:val="single" w:sz="4" w:space="0" w:color="auto"/>
            </w:tcBorders>
            <w:shd w:val="clear" w:color="000000" w:fill="D9D9D9"/>
            <w:noWrap/>
            <w:vAlign w:val="bottom"/>
            <w:hideMark/>
          </w:tcPr>
          <w:p w14:paraId="1F582F83" w14:textId="335E6C6F"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011" w:type="dxa"/>
            <w:tcBorders>
              <w:top w:val="nil"/>
              <w:left w:val="nil"/>
              <w:bottom w:val="single" w:sz="4" w:space="0" w:color="auto"/>
              <w:right w:val="single" w:sz="4" w:space="0" w:color="auto"/>
            </w:tcBorders>
            <w:shd w:val="clear" w:color="000000" w:fill="D9D9D9"/>
            <w:noWrap/>
            <w:vAlign w:val="bottom"/>
            <w:hideMark/>
          </w:tcPr>
          <w:p w14:paraId="15238045" w14:textId="04DA0E12"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302" w:type="dxa"/>
            <w:tcBorders>
              <w:top w:val="nil"/>
              <w:left w:val="nil"/>
              <w:bottom w:val="single" w:sz="4" w:space="0" w:color="auto"/>
              <w:right w:val="single" w:sz="4" w:space="0" w:color="auto"/>
            </w:tcBorders>
            <w:shd w:val="clear" w:color="auto" w:fill="auto"/>
            <w:noWrap/>
            <w:hideMark/>
          </w:tcPr>
          <w:p w14:paraId="0DFC9C14" w14:textId="41179A67"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3,55</w:t>
            </w:r>
            <w:r w:rsidRPr="008F5287">
              <w:rPr>
                <w:rFonts w:cs="Arial"/>
                <w:sz w:val="20"/>
                <w:szCs w:val="20"/>
              </w:rPr>
              <w:fldChar w:fldCharType="end"/>
            </w:r>
          </w:p>
        </w:tc>
      </w:tr>
      <w:tr w:rsidR="004A0796" w:rsidRPr="00E224F1" w14:paraId="13003AB0"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2477BD6D" w14:textId="04B3A9F0" w:rsidR="004A0796" w:rsidRPr="00E224F1" w:rsidRDefault="004A0796" w:rsidP="004A0796">
            <w:pPr>
              <w:spacing w:before="0" w:after="0"/>
              <w:rPr>
                <w:rFonts w:cs="Arial"/>
                <w:sz w:val="20"/>
                <w:szCs w:val="20"/>
                <w:lang w:val="es-ES_tradnl" w:eastAsia="en-US"/>
              </w:rPr>
            </w:pPr>
            <w:r>
              <w:rPr>
                <w:rFonts w:cs="Arial"/>
                <w:sz w:val="20"/>
                <w:szCs w:val="20"/>
              </w:rPr>
              <w:t>Pisos</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20AAD7C4" w14:textId="11BA63E9" w:rsidR="004A0796" w:rsidRPr="00E224F1" w:rsidRDefault="004A0796" w:rsidP="004A0796">
            <w:pPr>
              <w:spacing w:before="0" w:after="0"/>
              <w:jc w:val="center"/>
              <w:rPr>
                <w:rFonts w:cs="Arial"/>
                <w:sz w:val="16"/>
                <w:szCs w:val="16"/>
                <w:lang w:val="es-ES_tradnl" w:eastAsia="en-US"/>
              </w:rPr>
            </w:pPr>
            <w:r>
              <w:rPr>
                <w:rFonts w:cs="Arial"/>
                <w:sz w:val="20"/>
                <w:szCs w:val="20"/>
              </w:rPr>
              <w:t>1,838</w:t>
            </w:r>
          </w:p>
        </w:tc>
        <w:tc>
          <w:tcPr>
            <w:tcW w:w="1011" w:type="dxa"/>
            <w:tcBorders>
              <w:top w:val="nil"/>
              <w:left w:val="nil"/>
              <w:bottom w:val="single" w:sz="4" w:space="0" w:color="auto"/>
              <w:right w:val="single" w:sz="4" w:space="0" w:color="auto"/>
            </w:tcBorders>
            <w:shd w:val="clear" w:color="000000" w:fill="D9D9D9"/>
            <w:noWrap/>
            <w:vAlign w:val="bottom"/>
            <w:hideMark/>
          </w:tcPr>
          <w:p w14:paraId="55243386" w14:textId="13ED910E" w:rsidR="004A0796" w:rsidRPr="00E224F1" w:rsidRDefault="004A0796" w:rsidP="004A0796">
            <w:pPr>
              <w:spacing w:before="0" w:after="0"/>
              <w:jc w:val="center"/>
              <w:rPr>
                <w:rFonts w:cs="Arial"/>
                <w:sz w:val="16"/>
                <w:szCs w:val="16"/>
                <w:lang w:val="es-ES_tradnl" w:eastAsia="en-US"/>
              </w:rPr>
            </w:pPr>
            <w:r>
              <w:rPr>
                <w:rFonts w:cs="Arial"/>
                <w:sz w:val="20"/>
                <w:szCs w:val="20"/>
              </w:rPr>
              <w:t>6,810</w:t>
            </w:r>
          </w:p>
        </w:tc>
        <w:tc>
          <w:tcPr>
            <w:tcW w:w="1241" w:type="dxa"/>
            <w:tcBorders>
              <w:top w:val="nil"/>
              <w:left w:val="nil"/>
              <w:bottom w:val="single" w:sz="4" w:space="0" w:color="auto"/>
              <w:right w:val="single" w:sz="4" w:space="0" w:color="auto"/>
            </w:tcBorders>
            <w:shd w:val="clear" w:color="000000" w:fill="D9D9D9"/>
            <w:noWrap/>
            <w:vAlign w:val="bottom"/>
            <w:hideMark/>
          </w:tcPr>
          <w:p w14:paraId="68D973CB" w14:textId="34692C92" w:rsidR="004A0796" w:rsidRPr="004A0796" w:rsidRDefault="004A0796" w:rsidP="004A0796">
            <w:pPr>
              <w:spacing w:before="0" w:after="0"/>
              <w:jc w:val="center"/>
              <w:rPr>
                <w:rFonts w:cs="Arial"/>
                <w:sz w:val="20"/>
                <w:szCs w:val="20"/>
                <w:lang w:val="es-ES_tradnl" w:eastAsia="en-US"/>
              </w:rPr>
            </w:pPr>
            <w:r w:rsidRPr="004A0796">
              <w:rPr>
                <w:rFonts w:cs="Arial"/>
                <w:sz w:val="20"/>
                <w:szCs w:val="20"/>
                <w:lang w:val="es-ES_tradnl" w:eastAsia="en-US"/>
              </w:rPr>
              <w:t>0,00</w:t>
            </w:r>
          </w:p>
        </w:tc>
        <w:tc>
          <w:tcPr>
            <w:tcW w:w="1011" w:type="dxa"/>
            <w:tcBorders>
              <w:top w:val="nil"/>
              <w:left w:val="nil"/>
              <w:bottom w:val="single" w:sz="4" w:space="0" w:color="auto"/>
              <w:right w:val="single" w:sz="4" w:space="0" w:color="auto"/>
            </w:tcBorders>
            <w:shd w:val="clear" w:color="000000" w:fill="D9D9D9"/>
            <w:noWrap/>
            <w:vAlign w:val="bottom"/>
            <w:hideMark/>
          </w:tcPr>
          <w:p w14:paraId="793C23F6" w14:textId="14985127" w:rsidR="004A0796" w:rsidRPr="00E224F1" w:rsidRDefault="004A0796" w:rsidP="004A0796">
            <w:pPr>
              <w:spacing w:before="0" w:after="0"/>
              <w:jc w:val="center"/>
              <w:rPr>
                <w:rFonts w:cs="Arial"/>
                <w:sz w:val="16"/>
                <w:szCs w:val="16"/>
                <w:lang w:val="es-ES_tradnl" w:eastAsia="en-US"/>
              </w:rPr>
            </w:pPr>
            <w:r>
              <w:rPr>
                <w:rFonts w:cs="Arial"/>
                <w:sz w:val="20"/>
                <w:szCs w:val="20"/>
              </w:rPr>
              <w:t>2,290</w:t>
            </w:r>
          </w:p>
        </w:tc>
        <w:tc>
          <w:tcPr>
            <w:tcW w:w="1302" w:type="dxa"/>
            <w:tcBorders>
              <w:top w:val="nil"/>
              <w:left w:val="nil"/>
              <w:bottom w:val="single" w:sz="4" w:space="0" w:color="auto"/>
              <w:right w:val="single" w:sz="4" w:space="0" w:color="auto"/>
            </w:tcBorders>
            <w:shd w:val="clear" w:color="auto" w:fill="auto"/>
            <w:noWrap/>
            <w:hideMark/>
          </w:tcPr>
          <w:p w14:paraId="133C7FD1" w14:textId="16B7B5C7"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10,938</w:t>
            </w:r>
            <w:r w:rsidRPr="008F5287">
              <w:rPr>
                <w:rFonts w:cs="Arial"/>
                <w:sz w:val="20"/>
                <w:szCs w:val="20"/>
              </w:rPr>
              <w:fldChar w:fldCharType="end"/>
            </w:r>
          </w:p>
        </w:tc>
      </w:tr>
      <w:tr w:rsidR="004A0796" w:rsidRPr="00E224F1" w14:paraId="32E1D7D6"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0AD8298A" w14:textId="2F9F9651" w:rsidR="004A0796" w:rsidRPr="00E224F1" w:rsidRDefault="004A0796" w:rsidP="004A0796">
            <w:pPr>
              <w:spacing w:before="0" w:after="0"/>
              <w:rPr>
                <w:rFonts w:cs="Arial"/>
                <w:sz w:val="20"/>
                <w:szCs w:val="20"/>
                <w:lang w:val="es-ES_tradnl" w:eastAsia="en-US"/>
              </w:rPr>
            </w:pPr>
            <w:r>
              <w:rPr>
                <w:rFonts w:cs="Arial"/>
                <w:sz w:val="20"/>
                <w:szCs w:val="20"/>
              </w:rPr>
              <w:t>Restaurante</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21BE3E12" w14:textId="698F2461" w:rsidR="004A0796" w:rsidRPr="00E224F1" w:rsidRDefault="004A0796" w:rsidP="004A0796">
            <w:pPr>
              <w:spacing w:before="0" w:after="0"/>
              <w:jc w:val="center"/>
              <w:rPr>
                <w:rFonts w:cs="Arial"/>
                <w:sz w:val="16"/>
                <w:szCs w:val="16"/>
                <w:lang w:val="es-ES_tradnl" w:eastAsia="en-US"/>
              </w:rPr>
            </w:pPr>
            <w:r>
              <w:rPr>
                <w:rFonts w:cs="Arial"/>
                <w:sz w:val="20"/>
                <w:szCs w:val="20"/>
              </w:rPr>
              <w:t>4,070</w:t>
            </w:r>
          </w:p>
        </w:tc>
        <w:tc>
          <w:tcPr>
            <w:tcW w:w="1011" w:type="dxa"/>
            <w:tcBorders>
              <w:top w:val="nil"/>
              <w:left w:val="nil"/>
              <w:bottom w:val="single" w:sz="4" w:space="0" w:color="auto"/>
              <w:right w:val="single" w:sz="4" w:space="0" w:color="auto"/>
            </w:tcBorders>
            <w:shd w:val="clear" w:color="000000" w:fill="D9D9D9"/>
            <w:noWrap/>
            <w:vAlign w:val="bottom"/>
            <w:hideMark/>
          </w:tcPr>
          <w:p w14:paraId="1A5FEF17" w14:textId="0CC06979" w:rsidR="004A0796" w:rsidRPr="00E224F1" w:rsidRDefault="004A0796" w:rsidP="004A0796">
            <w:pPr>
              <w:spacing w:before="0" w:after="0"/>
              <w:jc w:val="center"/>
              <w:rPr>
                <w:rFonts w:cs="Arial"/>
                <w:sz w:val="16"/>
                <w:szCs w:val="16"/>
                <w:lang w:val="es-ES_tradnl" w:eastAsia="en-US"/>
              </w:rPr>
            </w:pPr>
            <w:r>
              <w:rPr>
                <w:rFonts w:cs="Arial"/>
                <w:sz w:val="20"/>
                <w:szCs w:val="20"/>
              </w:rPr>
              <w:t>1,882</w:t>
            </w:r>
          </w:p>
        </w:tc>
        <w:tc>
          <w:tcPr>
            <w:tcW w:w="1241" w:type="dxa"/>
            <w:tcBorders>
              <w:top w:val="nil"/>
              <w:left w:val="nil"/>
              <w:bottom w:val="single" w:sz="4" w:space="0" w:color="auto"/>
              <w:right w:val="single" w:sz="4" w:space="0" w:color="auto"/>
            </w:tcBorders>
            <w:shd w:val="clear" w:color="000000" w:fill="D9D9D9"/>
            <w:noWrap/>
            <w:vAlign w:val="bottom"/>
            <w:hideMark/>
          </w:tcPr>
          <w:p w14:paraId="6D6401D2" w14:textId="434CD741" w:rsidR="004A0796" w:rsidRPr="00E224F1" w:rsidRDefault="004A0796" w:rsidP="004A0796">
            <w:pPr>
              <w:spacing w:before="0" w:after="0"/>
              <w:jc w:val="center"/>
              <w:rPr>
                <w:rFonts w:cs="Arial"/>
                <w:sz w:val="16"/>
                <w:szCs w:val="16"/>
                <w:lang w:val="es-ES_tradnl" w:eastAsia="en-US"/>
              </w:rPr>
            </w:pPr>
            <w:r>
              <w:rPr>
                <w:rFonts w:cs="Arial"/>
                <w:sz w:val="20"/>
                <w:szCs w:val="20"/>
              </w:rPr>
              <w:t>1,916</w:t>
            </w:r>
          </w:p>
        </w:tc>
        <w:tc>
          <w:tcPr>
            <w:tcW w:w="1011" w:type="dxa"/>
            <w:tcBorders>
              <w:top w:val="nil"/>
              <w:left w:val="nil"/>
              <w:bottom w:val="single" w:sz="4" w:space="0" w:color="auto"/>
              <w:right w:val="single" w:sz="4" w:space="0" w:color="auto"/>
            </w:tcBorders>
            <w:shd w:val="clear" w:color="000000" w:fill="D9D9D9"/>
            <w:noWrap/>
            <w:vAlign w:val="bottom"/>
            <w:hideMark/>
          </w:tcPr>
          <w:p w14:paraId="30A6C588" w14:textId="2EA143D0" w:rsidR="004A0796" w:rsidRPr="00E224F1" w:rsidRDefault="004A0796" w:rsidP="004A0796">
            <w:pPr>
              <w:spacing w:before="0" w:after="0"/>
              <w:jc w:val="center"/>
              <w:rPr>
                <w:rFonts w:cs="Arial"/>
                <w:sz w:val="16"/>
                <w:szCs w:val="16"/>
                <w:lang w:val="es-ES_tradnl" w:eastAsia="en-US"/>
              </w:rPr>
            </w:pPr>
            <w:r>
              <w:rPr>
                <w:rFonts w:cs="Arial"/>
                <w:sz w:val="20"/>
                <w:szCs w:val="20"/>
              </w:rPr>
              <w:t>1,376</w:t>
            </w:r>
          </w:p>
        </w:tc>
        <w:tc>
          <w:tcPr>
            <w:tcW w:w="1302" w:type="dxa"/>
            <w:tcBorders>
              <w:top w:val="nil"/>
              <w:left w:val="nil"/>
              <w:bottom w:val="single" w:sz="4" w:space="0" w:color="auto"/>
              <w:right w:val="single" w:sz="4" w:space="0" w:color="auto"/>
            </w:tcBorders>
            <w:shd w:val="clear" w:color="auto" w:fill="auto"/>
            <w:noWrap/>
            <w:hideMark/>
          </w:tcPr>
          <w:p w14:paraId="08F4D025" w14:textId="4EDEFB35"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9,244</w:t>
            </w:r>
            <w:r w:rsidRPr="008F5287">
              <w:rPr>
                <w:rFonts w:cs="Arial"/>
                <w:sz w:val="20"/>
                <w:szCs w:val="20"/>
              </w:rPr>
              <w:fldChar w:fldCharType="end"/>
            </w:r>
          </w:p>
        </w:tc>
      </w:tr>
      <w:tr w:rsidR="004A0796" w:rsidRPr="00E224F1" w14:paraId="321CED68"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1D21EFA8" w14:textId="53DED4F1" w:rsidR="004A0796" w:rsidRPr="00E224F1" w:rsidRDefault="004A0796" w:rsidP="004A0796">
            <w:pPr>
              <w:spacing w:before="0" w:after="0"/>
              <w:rPr>
                <w:rFonts w:cs="Arial"/>
                <w:sz w:val="20"/>
                <w:szCs w:val="20"/>
                <w:lang w:val="es-ES_tradnl" w:eastAsia="en-US"/>
              </w:rPr>
            </w:pPr>
            <w:r>
              <w:rPr>
                <w:rFonts w:cs="Arial"/>
                <w:sz w:val="20"/>
                <w:szCs w:val="20"/>
              </w:rPr>
              <w:t>Cocina</w:t>
            </w:r>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39F3BB60" w14:textId="6EEB631B" w:rsidR="004A0796" w:rsidRPr="00E224F1" w:rsidRDefault="004A0796" w:rsidP="004A0796">
            <w:pPr>
              <w:spacing w:before="0" w:after="0"/>
              <w:jc w:val="center"/>
              <w:rPr>
                <w:rFonts w:cs="Arial"/>
                <w:sz w:val="16"/>
                <w:szCs w:val="16"/>
                <w:lang w:val="es-ES_tradnl" w:eastAsia="en-US"/>
              </w:rPr>
            </w:pPr>
            <w:r>
              <w:rPr>
                <w:rFonts w:cs="Arial"/>
                <w:sz w:val="20"/>
                <w:szCs w:val="20"/>
              </w:rPr>
              <w:t>6,040</w:t>
            </w:r>
          </w:p>
        </w:tc>
        <w:tc>
          <w:tcPr>
            <w:tcW w:w="1011" w:type="dxa"/>
            <w:tcBorders>
              <w:top w:val="nil"/>
              <w:left w:val="nil"/>
              <w:bottom w:val="single" w:sz="4" w:space="0" w:color="auto"/>
              <w:right w:val="single" w:sz="4" w:space="0" w:color="auto"/>
            </w:tcBorders>
            <w:shd w:val="clear" w:color="000000" w:fill="D9D9D9"/>
            <w:noWrap/>
            <w:vAlign w:val="bottom"/>
            <w:hideMark/>
          </w:tcPr>
          <w:p w14:paraId="56682651" w14:textId="016ABA3F" w:rsidR="004A0796" w:rsidRPr="00E224F1" w:rsidRDefault="004A0796" w:rsidP="004A0796">
            <w:pPr>
              <w:spacing w:before="0" w:after="0"/>
              <w:jc w:val="center"/>
              <w:rPr>
                <w:rFonts w:cs="Arial"/>
                <w:sz w:val="16"/>
                <w:szCs w:val="16"/>
                <w:lang w:val="es-ES_tradnl" w:eastAsia="en-US"/>
              </w:rPr>
            </w:pPr>
            <w:r>
              <w:rPr>
                <w:rFonts w:cs="Arial"/>
                <w:sz w:val="20"/>
                <w:szCs w:val="20"/>
              </w:rPr>
              <w:t>1,660</w:t>
            </w:r>
          </w:p>
        </w:tc>
        <w:tc>
          <w:tcPr>
            <w:tcW w:w="1241" w:type="dxa"/>
            <w:tcBorders>
              <w:top w:val="nil"/>
              <w:left w:val="nil"/>
              <w:bottom w:val="single" w:sz="4" w:space="0" w:color="auto"/>
              <w:right w:val="single" w:sz="4" w:space="0" w:color="auto"/>
            </w:tcBorders>
            <w:shd w:val="clear" w:color="000000" w:fill="D9D9D9"/>
            <w:noWrap/>
            <w:vAlign w:val="bottom"/>
            <w:hideMark/>
          </w:tcPr>
          <w:p w14:paraId="7492E676" w14:textId="571365EE" w:rsidR="004A0796" w:rsidRPr="00E224F1" w:rsidRDefault="004A0796" w:rsidP="004A0796">
            <w:pPr>
              <w:spacing w:before="0" w:after="0"/>
              <w:jc w:val="center"/>
              <w:rPr>
                <w:rFonts w:cs="Arial"/>
                <w:sz w:val="16"/>
                <w:szCs w:val="16"/>
                <w:lang w:val="es-ES_tradnl" w:eastAsia="en-US"/>
              </w:rPr>
            </w:pPr>
            <w:r>
              <w:rPr>
                <w:rFonts w:cs="Arial"/>
                <w:sz w:val="20"/>
                <w:szCs w:val="20"/>
              </w:rPr>
              <w:t>3,590</w:t>
            </w:r>
          </w:p>
        </w:tc>
        <w:tc>
          <w:tcPr>
            <w:tcW w:w="1011" w:type="dxa"/>
            <w:tcBorders>
              <w:top w:val="nil"/>
              <w:left w:val="nil"/>
              <w:bottom w:val="single" w:sz="4" w:space="0" w:color="auto"/>
              <w:right w:val="single" w:sz="4" w:space="0" w:color="auto"/>
            </w:tcBorders>
            <w:shd w:val="clear" w:color="000000" w:fill="D9D9D9"/>
            <w:noWrap/>
            <w:vAlign w:val="bottom"/>
            <w:hideMark/>
          </w:tcPr>
          <w:p w14:paraId="42A0326E" w14:textId="487E56F1" w:rsidR="004A0796" w:rsidRPr="00E224F1" w:rsidRDefault="004A0796" w:rsidP="004A0796">
            <w:pPr>
              <w:spacing w:before="0" w:after="0"/>
              <w:jc w:val="center"/>
              <w:rPr>
                <w:rFonts w:cs="Arial"/>
                <w:sz w:val="16"/>
                <w:szCs w:val="16"/>
                <w:lang w:val="es-ES_tradnl" w:eastAsia="en-US"/>
              </w:rPr>
            </w:pPr>
            <w:r>
              <w:rPr>
                <w:rFonts w:cs="Arial"/>
                <w:sz w:val="20"/>
                <w:szCs w:val="20"/>
              </w:rPr>
              <w:t>1,232</w:t>
            </w:r>
          </w:p>
        </w:tc>
        <w:tc>
          <w:tcPr>
            <w:tcW w:w="1302" w:type="dxa"/>
            <w:tcBorders>
              <w:top w:val="nil"/>
              <w:left w:val="nil"/>
              <w:bottom w:val="single" w:sz="4" w:space="0" w:color="auto"/>
              <w:right w:val="single" w:sz="4" w:space="0" w:color="auto"/>
            </w:tcBorders>
            <w:shd w:val="clear" w:color="auto" w:fill="auto"/>
            <w:noWrap/>
            <w:hideMark/>
          </w:tcPr>
          <w:p w14:paraId="16BB7FA7" w14:textId="59925758"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12,522</w:t>
            </w:r>
            <w:r w:rsidRPr="008F5287">
              <w:rPr>
                <w:rFonts w:cs="Arial"/>
                <w:sz w:val="20"/>
                <w:szCs w:val="20"/>
              </w:rPr>
              <w:fldChar w:fldCharType="end"/>
            </w:r>
          </w:p>
        </w:tc>
      </w:tr>
      <w:tr w:rsidR="004A0796" w:rsidRPr="00E224F1" w14:paraId="7E59309F" w14:textId="77777777" w:rsidTr="004A0796">
        <w:trPr>
          <w:trHeight w:val="260"/>
        </w:trPr>
        <w:tc>
          <w:tcPr>
            <w:tcW w:w="2862" w:type="dxa"/>
            <w:tcBorders>
              <w:top w:val="nil"/>
              <w:left w:val="single" w:sz="4" w:space="0" w:color="auto"/>
              <w:bottom w:val="single" w:sz="4" w:space="0" w:color="auto"/>
              <w:right w:val="single" w:sz="4" w:space="0" w:color="auto"/>
            </w:tcBorders>
            <w:shd w:val="clear" w:color="auto" w:fill="auto"/>
            <w:noWrap/>
            <w:vAlign w:val="bottom"/>
            <w:hideMark/>
          </w:tcPr>
          <w:p w14:paraId="1ACC6A0D" w14:textId="3101D7BD" w:rsidR="004A0796" w:rsidRPr="00E224F1" w:rsidRDefault="004A0796" w:rsidP="004A0796">
            <w:pPr>
              <w:spacing w:before="0" w:after="0"/>
              <w:rPr>
                <w:rFonts w:cs="Arial"/>
                <w:sz w:val="20"/>
                <w:szCs w:val="20"/>
                <w:lang w:val="es-ES_tradnl" w:eastAsia="en-US"/>
              </w:rPr>
            </w:pPr>
            <w:r>
              <w:rPr>
                <w:rFonts w:cs="Arial"/>
                <w:sz w:val="20"/>
                <w:szCs w:val="20"/>
              </w:rPr>
              <w:t xml:space="preserve">Finca </w:t>
            </w:r>
            <w:proofErr w:type="spellStart"/>
            <w:r>
              <w:rPr>
                <w:rFonts w:cs="Arial"/>
                <w:sz w:val="20"/>
                <w:szCs w:val="20"/>
              </w:rPr>
              <w:t>Valleguerra</w:t>
            </w:r>
            <w:proofErr w:type="spellEnd"/>
          </w:p>
        </w:tc>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2F0D4233" w14:textId="2C660EA6" w:rsidR="004A0796" w:rsidRPr="00E224F1" w:rsidRDefault="004A0796" w:rsidP="004A0796">
            <w:pPr>
              <w:spacing w:before="0" w:after="0"/>
              <w:jc w:val="center"/>
              <w:rPr>
                <w:rFonts w:cs="Arial"/>
                <w:sz w:val="16"/>
                <w:szCs w:val="16"/>
                <w:lang w:val="es-ES_tradnl" w:eastAsia="en-US"/>
              </w:rPr>
            </w:pPr>
            <w:r>
              <w:rPr>
                <w:rFonts w:cs="Arial"/>
                <w:sz w:val="20"/>
                <w:szCs w:val="20"/>
              </w:rPr>
              <w:t>1,000</w:t>
            </w:r>
          </w:p>
        </w:tc>
        <w:tc>
          <w:tcPr>
            <w:tcW w:w="1011" w:type="dxa"/>
            <w:tcBorders>
              <w:top w:val="nil"/>
              <w:left w:val="nil"/>
              <w:bottom w:val="single" w:sz="4" w:space="0" w:color="auto"/>
              <w:right w:val="single" w:sz="4" w:space="0" w:color="auto"/>
            </w:tcBorders>
            <w:shd w:val="clear" w:color="000000" w:fill="D9D9D9"/>
            <w:noWrap/>
            <w:vAlign w:val="bottom"/>
            <w:hideMark/>
          </w:tcPr>
          <w:p w14:paraId="2AB17153" w14:textId="4EC99AEE" w:rsidR="004A0796" w:rsidRPr="00E224F1" w:rsidRDefault="004A0796" w:rsidP="004A0796">
            <w:pPr>
              <w:spacing w:before="0" w:after="0"/>
              <w:jc w:val="center"/>
              <w:rPr>
                <w:rFonts w:cs="Arial"/>
                <w:sz w:val="16"/>
                <w:szCs w:val="16"/>
                <w:lang w:val="es-ES_tradnl" w:eastAsia="en-US"/>
              </w:rPr>
            </w:pPr>
            <w:r>
              <w:rPr>
                <w:rFonts w:cs="Arial"/>
                <w:sz w:val="20"/>
                <w:szCs w:val="20"/>
              </w:rPr>
              <w:t> 1,000</w:t>
            </w:r>
          </w:p>
        </w:tc>
        <w:tc>
          <w:tcPr>
            <w:tcW w:w="1241" w:type="dxa"/>
            <w:tcBorders>
              <w:top w:val="nil"/>
              <w:left w:val="nil"/>
              <w:bottom w:val="single" w:sz="4" w:space="0" w:color="auto"/>
              <w:right w:val="single" w:sz="4" w:space="0" w:color="auto"/>
            </w:tcBorders>
            <w:shd w:val="clear" w:color="000000" w:fill="D9D9D9"/>
            <w:noWrap/>
            <w:vAlign w:val="bottom"/>
            <w:hideMark/>
          </w:tcPr>
          <w:p w14:paraId="74554BF9" w14:textId="5DE86F50" w:rsidR="004A0796" w:rsidRPr="00E224F1" w:rsidRDefault="004A0796" w:rsidP="004A0796">
            <w:pPr>
              <w:spacing w:before="0" w:after="0"/>
              <w:jc w:val="center"/>
              <w:rPr>
                <w:rFonts w:cs="Arial"/>
                <w:sz w:val="16"/>
                <w:szCs w:val="16"/>
                <w:lang w:val="es-ES_tradnl" w:eastAsia="en-US"/>
              </w:rPr>
            </w:pPr>
            <w:r>
              <w:rPr>
                <w:rFonts w:cs="Arial"/>
                <w:sz w:val="20"/>
                <w:szCs w:val="20"/>
              </w:rPr>
              <w:t>3,000</w:t>
            </w:r>
          </w:p>
        </w:tc>
        <w:tc>
          <w:tcPr>
            <w:tcW w:w="1011" w:type="dxa"/>
            <w:tcBorders>
              <w:top w:val="nil"/>
              <w:left w:val="nil"/>
              <w:bottom w:val="single" w:sz="4" w:space="0" w:color="auto"/>
              <w:right w:val="single" w:sz="4" w:space="0" w:color="auto"/>
            </w:tcBorders>
            <w:shd w:val="clear" w:color="000000" w:fill="D9D9D9"/>
            <w:noWrap/>
            <w:vAlign w:val="bottom"/>
            <w:hideMark/>
          </w:tcPr>
          <w:p w14:paraId="075092F6" w14:textId="42EBEB77"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302" w:type="dxa"/>
            <w:tcBorders>
              <w:top w:val="nil"/>
              <w:left w:val="nil"/>
              <w:bottom w:val="single" w:sz="4" w:space="0" w:color="auto"/>
              <w:right w:val="single" w:sz="4" w:space="0" w:color="auto"/>
            </w:tcBorders>
            <w:shd w:val="clear" w:color="auto" w:fill="auto"/>
            <w:noWrap/>
            <w:hideMark/>
          </w:tcPr>
          <w:p w14:paraId="39229274" w14:textId="1CB015FB"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5</w:t>
            </w:r>
            <w:r w:rsidRPr="008F5287">
              <w:rPr>
                <w:rFonts w:cs="Arial"/>
                <w:sz w:val="20"/>
                <w:szCs w:val="20"/>
              </w:rPr>
              <w:fldChar w:fldCharType="end"/>
            </w:r>
          </w:p>
        </w:tc>
      </w:tr>
      <w:tr w:rsidR="004A0796" w:rsidRPr="00E224F1" w14:paraId="2C4E1FD2" w14:textId="77777777" w:rsidTr="004A0796">
        <w:trPr>
          <w:trHeight w:val="260"/>
        </w:trPr>
        <w:tc>
          <w:tcPr>
            <w:tcW w:w="2862" w:type="dxa"/>
            <w:tcBorders>
              <w:top w:val="nil"/>
              <w:left w:val="single" w:sz="4" w:space="0" w:color="auto"/>
              <w:bottom w:val="nil"/>
              <w:right w:val="single" w:sz="4" w:space="0" w:color="auto"/>
            </w:tcBorders>
            <w:shd w:val="clear" w:color="auto" w:fill="auto"/>
            <w:noWrap/>
            <w:vAlign w:val="bottom"/>
            <w:hideMark/>
          </w:tcPr>
          <w:p w14:paraId="3EAB44B7" w14:textId="098BA7A1" w:rsidR="004A0796" w:rsidRPr="00E224F1" w:rsidRDefault="004A0796" w:rsidP="004A0796">
            <w:pPr>
              <w:spacing w:before="0" w:after="0"/>
              <w:rPr>
                <w:rFonts w:cs="Arial"/>
                <w:sz w:val="20"/>
                <w:szCs w:val="20"/>
                <w:lang w:val="es-ES_tradnl" w:eastAsia="en-US"/>
              </w:rPr>
            </w:pPr>
            <w:r>
              <w:rPr>
                <w:rFonts w:cs="Arial"/>
                <w:sz w:val="20"/>
                <w:szCs w:val="20"/>
              </w:rPr>
              <w:t xml:space="preserve">Oficial de primera </w:t>
            </w:r>
          </w:p>
        </w:tc>
        <w:tc>
          <w:tcPr>
            <w:tcW w:w="1241" w:type="dxa"/>
            <w:tcBorders>
              <w:top w:val="nil"/>
              <w:left w:val="single" w:sz="4" w:space="0" w:color="auto"/>
              <w:bottom w:val="nil"/>
              <w:right w:val="single" w:sz="4" w:space="0" w:color="auto"/>
            </w:tcBorders>
            <w:shd w:val="clear" w:color="000000" w:fill="D9D9D9"/>
            <w:noWrap/>
            <w:vAlign w:val="bottom"/>
            <w:hideMark/>
          </w:tcPr>
          <w:p w14:paraId="4B77EB2F" w14:textId="5BD503C9" w:rsidR="004A0796" w:rsidRPr="00E224F1" w:rsidRDefault="004A0796" w:rsidP="004A0796">
            <w:pPr>
              <w:spacing w:before="0" w:after="0"/>
              <w:jc w:val="center"/>
              <w:rPr>
                <w:rFonts w:cs="Arial"/>
                <w:sz w:val="16"/>
                <w:szCs w:val="16"/>
                <w:lang w:val="es-ES_tradnl" w:eastAsia="en-US"/>
              </w:rPr>
            </w:pPr>
            <w:r>
              <w:rPr>
                <w:rFonts w:cs="Arial"/>
                <w:sz w:val="20"/>
                <w:szCs w:val="20"/>
              </w:rPr>
              <w:t>1,000</w:t>
            </w:r>
          </w:p>
        </w:tc>
        <w:tc>
          <w:tcPr>
            <w:tcW w:w="1011" w:type="dxa"/>
            <w:tcBorders>
              <w:top w:val="nil"/>
              <w:left w:val="nil"/>
              <w:bottom w:val="nil"/>
              <w:right w:val="single" w:sz="4" w:space="0" w:color="auto"/>
            </w:tcBorders>
            <w:shd w:val="clear" w:color="000000" w:fill="D9D9D9"/>
            <w:noWrap/>
            <w:vAlign w:val="bottom"/>
            <w:hideMark/>
          </w:tcPr>
          <w:p w14:paraId="52864795" w14:textId="77E1BC21" w:rsidR="004A0796" w:rsidRPr="00E224F1" w:rsidRDefault="004A0796" w:rsidP="004A0796">
            <w:pPr>
              <w:spacing w:before="0" w:after="0"/>
              <w:jc w:val="center"/>
              <w:rPr>
                <w:rFonts w:cs="Arial"/>
                <w:sz w:val="16"/>
                <w:szCs w:val="16"/>
                <w:lang w:val="es-ES_tradnl" w:eastAsia="en-US"/>
              </w:rPr>
            </w:pPr>
            <w:r>
              <w:rPr>
                <w:rFonts w:cs="Arial"/>
                <w:sz w:val="20"/>
                <w:szCs w:val="20"/>
              </w:rPr>
              <w:t> </w:t>
            </w:r>
          </w:p>
        </w:tc>
        <w:tc>
          <w:tcPr>
            <w:tcW w:w="1241" w:type="dxa"/>
            <w:tcBorders>
              <w:top w:val="nil"/>
              <w:left w:val="nil"/>
              <w:bottom w:val="nil"/>
              <w:right w:val="single" w:sz="4" w:space="0" w:color="auto"/>
            </w:tcBorders>
            <w:shd w:val="clear" w:color="000000" w:fill="D9D9D9"/>
            <w:noWrap/>
            <w:vAlign w:val="bottom"/>
            <w:hideMark/>
          </w:tcPr>
          <w:p w14:paraId="04751359" w14:textId="21E01E66"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011" w:type="dxa"/>
            <w:tcBorders>
              <w:top w:val="nil"/>
              <w:left w:val="nil"/>
              <w:bottom w:val="nil"/>
              <w:right w:val="single" w:sz="4" w:space="0" w:color="auto"/>
            </w:tcBorders>
            <w:shd w:val="clear" w:color="000000" w:fill="D9D9D9"/>
            <w:noWrap/>
            <w:vAlign w:val="bottom"/>
            <w:hideMark/>
          </w:tcPr>
          <w:p w14:paraId="1A73E63F" w14:textId="699908B6" w:rsidR="004A0796" w:rsidRPr="00E224F1" w:rsidRDefault="004A0796" w:rsidP="004A0796">
            <w:pPr>
              <w:spacing w:before="0" w:after="0"/>
              <w:jc w:val="center"/>
              <w:rPr>
                <w:rFonts w:cs="Arial"/>
                <w:sz w:val="16"/>
                <w:szCs w:val="16"/>
                <w:lang w:val="es-ES_tradnl" w:eastAsia="en-US"/>
              </w:rPr>
            </w:pPr>
            <w:r>
              <w:rPr>
                <w:rFonts w:cs="Arial"/>
                <w:sz w:val="20"/>
                <w:szCs w:val="20"/>
              </w:rPr>
              <w:t> </w:t>
            </w:r>
            <w:r w:rsidR="00AD7BA2">
              <w:rPr>
                <w:rFonts w:cs="Arial"/>
                <w:sz w:val="20"/>
                <w:szCs w:val="20"/>
              </w:rPr>
              <w:t>0,00</w:t>
            </w:r>
          </w:p>
        </w:tc>
        <w:tc>
          <w:tcPr>
            <w:tcW w:w="1302" w:type="dxa"/>
            <w:tcBorders>
              <w:top w:val="nil"/>
              <w:left w:val="nil"/>
              <w:bottom w:val="single" w:sz="4" w:space="0" w:color="auto"/>
              <w:right w:val="single" w:sz="4" w:space="0" w:color="auto"/>
            </w:tcBorders>
            <w:shd w:val="clear" w:color="auto" w:fill="auto"/>
            <w:noWrap/>
            <w:hideMark/>
          </w:tcPr>
          <w:p w14:paraId="6B54B91B" w14:textId="255C4E94"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0,0</w:t>
            </w:r>
            <w:r w:rsidRPr="008F5287">
              <w:rPr>
                <w:rFonts w:cs="Arial"/>
                <w:sz w:val="20"/>
                <w:szCs w:val="20"/>
              </w:rPr>
              <w:fldChar w:fldCharType="end"/>
            </w:r>
          </w:p>
        </w:tc>
      </w:tr>
      <w:tr w:rsidR="004A0796" w:rsidRPr="00E224F1" w14:paraId="3ACB32B8" w14:textId="77777777" w:rsidTr="004A0796">
        <w:trPr>
          <w:trHeight w:val="260"/>
        </w:trPr>
        <w:tc>
          <w:tcPr>
            <w:tcW w:w="2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7B0D" w14:textId="08CDFBDD" w:rsidR="004A0796" w:rsidRPr="00E224F1" w:rsidRDefault="004A0796" w:rsidP="004A0796">
            <w:pPr>
              <w:spacing w:before="0" w:after="0"/>
              <w:rPr>
                <w:rFonts w:cs="Arial"/>
                <w:sz w:val="20"/>
                <w:szCs w:val="20"/>
                <w:lang w:val="es-ES_tradnl" w:eastAsia="en-US"/>
              </w:rPr>
            </w:pPr>
            <w:r>
              <w:rPr>
                <w:rFonts w:cs="Arial"/>
                <w:sz w:val="20"/>
                <w:szCs w:val="20"/>
              </w:rPr>
              <w:t xml:space="preserve">Músicos </w:t>
            </w:r>
          </w:p>
        </w:tc>
        <w:tc>
          <w:tcPr>
            <w:tcW w:w="1241" w:type="dxa"/>
            <w:tcBorders>
              <w:top w:val="single" w:sz="4" w:space="0" w:color="auto"/>
              <w:left w:val="single" w:sz="4" w:space="0" w:color="auto"/>
              <w:bottom w:val="nil"/>
              <w:right w:val="single" w:sz="4" w:space="0" w:color="auto"/>
            </w:tcBorders>
            <w:shd w:val="clear" w:color="000000" w:fill="D9D9D9"/>
            <w:noWrap/>
            <w:vAlign w:val="bottom"/>
            <w:hideMark/>
          </w:tcPr>
          <w:p w14:paraId="21A891AB" w14:textId="15092E6E" w:rsidR="004A0796" w:rsidRPr="00E224F1" w:rsidRDefault="004A0796" w:rsidP="004A0796">
            <w:pPr>
              <w:spacing w:before="0" w:after="0"/>
              <w:jc w:val="center"/>
              <w:rPr>
                <w:rFonts w:cs="Arial"/>
                <w:sz w:val="16"/>
                <w:szCs w:val="16"/>
                <w:lang w:val="es-ES_tradnl" w:eastAsia="en-US"/>
              </w:rPr>
            </w:pPr>
            <w:r>
              <w:rPr>
                <w:rFonts w:cs="Arial"/>
                <w:sz w:val="20"/>
                <w:szCs w:val="20"/>
              </w:rPr>
              <w:t> </w:t>
            </w:r>
          </w:p>
        </w:tc>
        <w:tc>
          <w:tcPr>
            <w:tcW w:w="1011" w:type="dxa"/>
            <w:tcBorders>
              <w:top w:val="single" w:sz="4" w:space="0" w:color="auto"/>
              <w:left w:val="nil"/>
              <w:bottom w:val="nil"/>
              <w:right w:val="single" w:sz="4" w:space="0" w:color="auto"/>
            </w:tcBorders>
            <w:shd w:val="clear" w:color="000000" w:fill="D9D9D9"/>
            <w:noWrap/>
            <w:vAlign w:val="bottom"/>
            <w:hideMark/>
          </w:tcPr>
          <w:p w14:paraId="5AE90ED5" w14:textId="66BD2CC8" w:rsidR="004A0796" w:rsidRPr="00E224F1" w:rsidRDefault="004A0796" w:rsidP="004A0796">
            <w:pPr>
              <w:spacing w:before="0" w:after="0"/>
              <w:jc w:val="center"/>
              <w:rPr>
                <w:rFonts w:cs="Arial"/>
                <w:sz w:val="16"/>
                <w:szCs w:val="16"/>
                <w:lang w:val="es-ES_tradnl" w:eastAsia="en-US"/>
              </w:rPr>
            </w:pPr>
            <w:r>
              <w:rPr>
                <w:rFonts w:cs="Arial"/>
                <w:sz w:val="20"/>
                <w:szCs w:val="20"/>
              </w:rPr>
              <w:t> </w:t>
            </w:r>
          </w:p>
        </w:tc>
        <w:tc>
          <w:tcPr>
            <w:tcW w:w="1241" w:type="dxa"/>
            <w:tcBorders>
              <w:top w:val="single" w:sz="4" w:space="0" w:color="auto"/>
              <w:left w:val="nil"/>
              <w:bottom w:val="nil"/>
              <w:right w:val="single" w:sz="4" w:space="0" w:color="auto"/>
            </w:tcBorders>
            <w:shd w:val="clear" w:color="000000" w:fill="D9D9D9"/>
            <w:noWrap/>
            <w:vAlign w:val="bottom"/>
            <w:hideMark/>
          </w:tcPr>
          <w:p w14:paraId="39EAE6AF" w14:textId="75ADB20C" w:rsidR="004A0796" w:rsidRPr="00E224F1" w:rsidRDefault="004A0796" w:rsidP="004A0796">
            <w:pPr>
              <w:spacing w:before="0" w:after="0"/>
              <w:jc w:val="center"/>
              <w:rPr>
                <w:rFonts w:cs="Arial"/>
                <w:sz w:val="16"/>
                <w:szCs w:val="16"/>
                <w:lang w:val="es-ES_tradnl" w:eastAsia="en-US"/>
              </w:rPr>
            </w:pPr>
            <w:r>
              <w:rPr>
                <w:rFonts w:cs="Arial"/>
                <w:sz w:val="20"/>
                <w:szCs w:val="20"/>
              </w:rPr>
              <w:t> 0,120</w:t>
            </w:r>
          </w:p>
        </w:tc>
        <w:tc>
          <w:tcPr>
            <w:tcW w:w="1011" w:type="dxa"/>
            <w:tcBorders>
              <w:top w:val="single" w:sz="4" w:space="0" w:color="auto"/>
              <w:left w:val="nil"/>
              <w:bottom w:val="nil"/>
              <w:right w:val="single" w:sz="4" w:space="0" w:color="auto"/>
            </w:tcBorders>
            <w:shd w:val="clear" w:color="000000" w:fill="D9D9D9"/>
            <w:noWrap/>
            <w:vAlign w:val="bottom"/>
            <w:hideMark/>
          </w:tcPr>
          <w:p w14:paraId="03A0913C" w14:textId="7D35BD86" w:rsidR="004A0796" w:rsidRPr="00E224F1" w:rsidRDefault="004A0796" w:rsidP="004A0796">
            <w:pPr>
              <w:spacing w:before="0" w:after="0"/>
              <w:jc w:val="center"/>
              <w:rPr>
                <w:rFonts w:cs="Arial"/>
                <w:sz w:val="16"/>
                <w:szCs w:val="16"/>
                <w:lang w:val="es-ES_tradnl" w:eastAsia="en-US"/>
              </w:rPr>
            </w:pPr>
            <w:r>
              <w:rPr>
                <w:rFonts w:cs="Arial"/>
                <w:sz w:val="20"/>
                <w:szCs w:val="20"/>
              </w:rPr>
              <w:t>0,250</w:t>
            </w:r>
          </w:p>
        </w:tc>
        <w:tc>
          <w:tcPr>
            <w:tcW w:w="1302" w:type="dxa"/>
            <w:tcBorders>
              <w:top w:val="nil"/>
              <w:left w:val="nil"/>
              <w:bottom w:val="single" w:sz="4" w:space="0" w:color="auto"/>
              <w:right w:val="single" w:sz="4" w:space="0" w:color="auto"/>
            </w:tcBorders>
            <w:shd w:val="clear" w:color="auto" w:fill="auto"/>
            <w:noWrap/>
            <w:hideMark/>
          </w:tcPr>
          <w:p w14:paraId="41F04D1D" w14:textId="51B87160" w:rsidR="004A0796" w:rsidRPr="00E224F1" w:rsidRDefault="004A0796" w:rsidP="004A0796">
            <w:pPr>
              <w:spacing w:before="0" w:after="0"/>
              <w:jc w:val="right"/>
              <w:rPr>
                <w:rFonts w:cs="Arial"/>
                <w:sz w:val="20"/>
                <w:szCs w:val="20"/>
                <w:lang w:val="es-ES_tradnl" w:eastAsia="en-US"/>
              </w:rPr>
            </w:pPr>
            <w:r w:rsidRPr="008F5287">
              <w:rPr>
                <w:rFonts w:cs="Arial"/>
                <w:sz w:val="20"/>
                <w:szCs w:val="20"/>
              </w:rPr>
              <w:fldChar w:fldCharType="begin"/>
            </w:r>
            <w:r w:rsidRPr="008F5287">
              <w:rPr>
                <w:rFonts w:cs="Arial"/>
                <w:sz w:val="20"/>
                <w:szCs w:val="20"/>
              </w:rPr>
              <w:instrText xml:space="preserve"> =SUM(LEFT) </w:instrText>
            </w:r>
            <w:r w:rsidRPr="008F5287">
              <w:rPr>
                <w:rFonts w:cs="Arial"/>
                <w:sz w:val="20"/>
                <w:szCs w:val="20"/>
              </w:rPr>
              <w:fldChar w:fldCharType="separate"/>
            </w:r>
            <w:r w:rsidR="00E11EEC">
              <w:rPr>
                <w:rFonts w:cs="Arial"/>
                <w:noProof/>
                <w:sz w:val="20"/>
                <w:szCs w:val="20"/>
              </w:rPr>
              <w:t>0,37</w:t>
            </w:r>
            <w:r w:rsidRPr="008F5287">
              <w:rPr>
                <w:rFonts w:cs="Arial"/>
                <w:sz w:val="20"/>
                <w:szCs w:val="20"/>
              </w:rPr>
              <w:fldChar w:fldCharType="end"/>
            </w:r>
          </w:p>
        </w:tc>
      </w:tr>
      <w:tr w:rsidR="004A0796" w:rsidRPr="00AD7BA2" w14:paraId="31962F27" w14:textId="77777777" w:rsidTr="004A0796">
        <w:trPr>
          <w:trHeight w:val="281"/>
        </w:trPr>
        <w:tc>
          <w:tcPr>
            <w:tcW w:w="2862" w:type="dxa"/>
            <w:tcBorders>
              <w:top w:val="nil"/>
              <w:left w:val="single" w:sz="8" w:space="0" w:color="auto"/>
              <w:bottom w:val="single" w:sz="8" w:space="0" w:color="auto"/>
              <w:right w:val="nil"/>
            </w:tcBorders>
            <w:shd w:val="clear" w:color="auto" w:fill="auto"/>
            <w:noWrap/>
            <w:vAlign w:val="bottom"/>
            <w:hideMark/>
          </w:tcPr>
          <w:p w14:paraId="206586E0" w14:textId="69E50067" w:rsidR="004A0796" w:rsidRPr="004A0796" w:rsidRDefault="004A0796" w:rsidP="00AD7BA2">
            <w:pPr>
              <w:spacing w:before="0" w:after="0"/>
              <w:rPr>
                <w:rFonts w:cs="Arial"/>
                <w:b/>
                <w:bCs/>
                <w:sz w:val="20"/>
                <w:szCs w:val="20"/>
                <w:lang w:val="es-ES_tradnl" w:eastAsia="en-US"/>
              </w:rPr>
            </w:pPr>
            <w:r w:rsidRPr="00AD7BA2">
              <w:rPr>
                <w:rFonts w:cs="Arial"/>
                <w:b/>
                <w:bCs/>
                <w:sz w:val="20"/>
                <w:szCs w:val="20"/>
                <w:lang w:val="es-ES_tradnl" w:eastAsia="en-US"/>
              </w:rPr>
              <w:t>TOTAL</w:t>
            </w:r>
          </w:p>
        </w:tc>
        <w:tc>
          <w:tcPr>
            <w:tcW w:w="124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1F40488" w14:textId="2415D8F0" w:rsidR="004A0796" w:rsidRPr="004A0796" w:rsidRDefault="004A0796" w:rsidP="00AD7BA2">
            <w:pPr>
              <w:spacing w:before="0" w:after="0"/>
              <w:jc w:val="right"/>
              <w:rPr>
                <w:rFonts w:cs="Arial"/>
                <w:b/>
                <w:bCs/>
                <w:sz w:val="20"/>
                <w:szCs w:val="20"/>
                <w:lang w:val="es-ES_tradnl" w:eastAsia="en-US"/>
              </w:rPr>
            </w:pPr>
            <w:r w:rsidRPr="00AD7BA2">
              <w:rPr>
                <w:rFonts w:cs="Arial"/>
                <w:b/>
                <w:bCs/>
                <w:sz w:val="20"/>
                <w:szCs w:val="20"/>
                <w:lang w:val="es-ES_tradnl" w:eastAsia="en-US"/>
              </w:rPr>
              <w:fldChar w:fldCharType="begin"/>
            </w:r>
            <w:r w:rsidRPr="00AD7BA2">
              <w:rPr>
                <w:rFonts w:cs="Arial"/>
                <w:b/>
                <w:bCs/>
                <w:sz w:val="20"/>
                <w:szCs w:val="20"/>
                <w:lang w:val="es-ES_tradnl" w:eastAsia="en-US"/>
              </w:rPr>
              <w:instrText xml:space="preserve"> =SUM(ABOVE) </w:instrText>
            </w:r>
            <w:r w:rsidRPr="00AD7BA2">
              <w:rPr>
                <w:rFonts w:cs="Arial"/>
                <w:b/>
                <w:bCs/>
                <w:sz w:val="20"/>
                <w:szCs w:val="20"/>
                <w:lang w:val="es-ES_tradnl" w:eastAsia="en-US"/>
              </w:rPr>
              <w:fldChar w:fldCharType="separate"/>
            </w:r>
            <w:r w:rsidR="00E11EEC">
              <w:rPr>
                <w:rFonts w:cs="Arial"/>
                <w:b/>
                <w:bCs/>
                <w:noProof/>
                <w:sz w:val="20"/>
                <w:szCs w:val="20"/>
                <w:lang w:val="es-ES_tradnl" w:eastAsia="en-US"/>
              </w:rPr>
              <w:t>23,066</w:t>
            </w:r>
            <w:r w:rsidRPr="00AD7BA2">
              <w:rPr>
                <w:rFonts w:cs="Arial"/>
                <w:b/>
                <w:bCs/>
                <w:sz w:val="20"/>
                <w:szCs w:val="20"/>
                <w:lang w:val="es-ES_tradnl" w:eastAsia="en-US"/>
              </w:rPr>
              <w:fldChar w:fldCharType="end"/>
            </w:r>
          </w:p>
        </w:tc>
        <w:tc>
          <w:tcPr>
            <w:tcW w:w="1011" w:type="dxa"/>
            <w:tcBorders>
              <w:top w:val="single" w:sz="4" w:space="0" w:color="auto"/>
              <w:left w:val="nil"/>
              <w:bottom w:val="single" w:sz="8" w:space="0" w:color="auto"/>
              <w:right w:val="single" w:sz="4" w:space="0" w:color="auto"/>
            </w:tcBorders>
            <w:shd w:val="clear" w:color="auto" w:fill="auto"/>
            <w:noWrap/>
            <w:hideMark/>
          </w:tcPr>
          <w:p w14:paraId="395EC859" w14:textId="55916431" w:rsidR="004A0796" w:rsidRPr="00AD7BA2" w:rsidRDefault="004A0796" w:rsidP="00AD7BA2">
            <w:pPr>
              <w:spacing w:before="0" w:after="0"/>
              <w:jc w:val="right"/>
              <w:rPr>
                <w:rFonts w:cs="Arial"/>
                <w:b/>
                <w:bCs/>
                <w:sz w:val="20"/>
                <w:szCs w:val="20"/>
                <w:lang w:val="es-ES_tradnl" w:eastAsia="en-US"/>
              </w:rPr>
            </w:pPr>
            <w:r w:rsidRPr="00AD7BA2">
              <w:rPr>
                <w:rFonts w:cs="Arial"/>
                <w:b/>
                <w:bCs/>
                <w:sz w:val="20"/>
                <w:szCs w:val="20"/>
                <w:lang w:val="es-ES_tradnl" w:eastAsia="en-US"/>
              </w:rPr>
              <w:fldChar w:fldCharType="begin"/>
            </w:r>
            <w:r w:rsidRPr="00AD7BA2">
              <w:rPr>
                <w:rFonts w:cs="Arial"/>
                <w:b/>
                <w:bCs/>
                <w:sz w:val="20"/>
                <w:szCs w:val="20"/>
                <w:lang w:val="es-ES_tradnl" w:eastAsia="en-US"/>
              </w:rPr>
              <w:instrText xml:space="preserve"> =SUM(ABOVE) </w:instrText>
            </w:r>
            <w:r w:rsidRPr="00AD7BA2">
              <w:rPr>
                <w:rFonts w:cs="Arial"/>
                <w:b/>
                <w:bCs/>
                <w:sz w:val="20"/>
                <w:szCs w:val="20"/>
                <w:lang w:val="es-ES_tradnl" w:eastAsia="en-US"/>
              </w:rPr>
              <w:fldChar w:fldCharType="separate"/>
            </w:r>
            <w:r w:rsidR="00E11EEC">
              <w:rPr>
                <w:rFonts w:cs="Arial"/>
                <w:b/>
                <w:bCs/>
                <w:noProof/>
                <w:sz w:val="20"/>
                <w:szCs w:val="20"/>
                <w:lang w:val="es-ES_tradnl" w:eastAsia="en-US"/>
              </w:rPr>
              <w:t>17,949</w:t>
            </w:r>
            <w:r w:rsidRPr="00AD7BA2">
              <w:rPr>
                <w:rFonts w:cs="Arial"/>
                <w:b/>
                <w:bCs/>
                <w:sz w:val="20"/>
                <w:szCs w:val="20"/>
                <w:lang w:val="es-ES_tradnl" w:eastAsia="en-US"/>
              </w:rPr>
              <w:fldChar w:fldCharType="end"/>
            </w:r>
          </w:p>
        </w:tc>
        <w:tc>
          <w:tcPr>
            <w:tcW w:w="1241" w:type="dxa"/>
            <w:tcBorders>
              <w:top w:val="single" w:sz="4" w:space="0" w:color="auto"/>
              <w:left w:val="nil"/>
              <w:bottom w:val="single" w:sz="8" w:space="0" w:color="auto"/>
              <w:right w:val="single" w:sz="4" w:space="0" w:color="auto"/>
            </w:tcBorders>
            <w:shd w:val="clear" w:color="auto" w:fill="auto"/>
            <w:noWrap/>
            <w:hideMark/>
          </w:tcPr>
          <w:p w14:paraId="0438CA63" w14:textId="14F01CE8" w:rsidR="004A0796" w:rsidRPr="00AD7BA2" w:rsidRDefault="004A0796" w:rsidP="00AD7BA2">
            <w:pPr>
              <w:spacing w:before="0" w:after="0"/>
              <w:jc w:val="right"/>
              <w:rPr>
                <w:rFonts w:cs="Arial"/>
                <w:b/>
                <w:bCs/>
                <w:sz w:val="20"/>
                <w:szCs w:val="20"/>
                <w:lang w:val="es-ES_tradnl" w:eastAsia="en-US"/>
              </w:rPr>
            </w:pPr>
            <w:r w:rsidRPr="00AD7BA2">
              <w:rPr>
                <w:rFonts w:cs="Arial"/>
                <w:b/>
                <w:bCs/>
                <w:sz w:val="20"/>
                <w:szCs w:val="20"/>
                <w:lang w:val="es-ES_tradnl" w:eastAsia="en-US"/>
              </w:rPr>
              <w:fldChar w:fldCharType="begin"/>
            </w:r>
            <w:r w:rsidRPr="00AD7BA2">
              <w:rPr>
                <w:rFonts w:cs="Arial"/>
                <w:b/>
                <w:bCs/>
                <w:sz w:val="20"/>
                <w:szCs w:val="20"/>
                <w:lang w:val="es-ES_tradnl" w:eastAsia="en-US"/>
              </w:rPr>
              <w:instrText xml:space="preserve"> =SUM(ABOVE) </w:instrText>
            </w:r>
            <w:r w:rsidRPr="00AD7BA2">
              <w:rPr>
                <w:rFonts w:cs="Arial"/>
                <w:b/>
                <w:bCs/>
                <w:sz w:val="20"/>
                <w:szCs w:val="20"/>
                <w:lang w:val="es-ES_tradnl" w:eastAsia="en-US"/>
              </w:rPr>
              <w:fldChar w:fldCharType="separate"/>
            </w:r>
            <w:r w:rsidR="00E11EEC">
              <w:rPr>
                <w:rFonts w:cs="Arial"/>
                <w:b/>
                <w:bCs/>
                <w:noProof/>
                <w:sz w:val="20"/>
                <w:szCs w:val="20"/>
                <w:lang w:val="es-ES_tradnl" w:eastAsia="en-US"/>
              </w:rPr>
              <w:t>11,045</w:t>
            </w:r>
            <w:r w:rsidRPr="00AD7BA2">
              <w:rPr>
                <w:rFonts w:cs="Arial"/>
                <w:b/>
                <w:bCs/>
                <w:sz w:val="20"/>
                <w:szCs w:val="20"/>
                <w:lang w:val="es-ES_tradnl" w:eastAsia="en-US"/>
              </w:rPr>
              <w:fldChar w:fldCharType="end"/>
            </w:r>
          </w:p>
        </w:tc>
        <w:tc>
          <w:tcPr>
            <w:tcW w:w="1011" w:type="dxa"/>
            <w:tcBorders>
              <w:top w:val="single" w:sz="4" w:space="0" w:color="auto"/>
              <w:left w:val="nil"/>
              <w:bottom w:val="single" w:sz="8" w:space="0" w:color="auto"/>
              <w:right w:val="single" w:sz="4" w:space="0" w:color="auto"/>
            </w:tcBorders>
            <w:shd w:val="clear" w:color="auto" w:fill="auto"/>
            <w:noWrap/>
            <w:hideMark/>
          </w:tcPr>
          <w:p w14:paraId="11B8F975" w14:textId="1FE25F8C" w:rsidR="004A0796" w:rsidRPr="00AD7BA2" w:rsidRDefault="004A0796" w:rsidP="00AD7BA2">
            <w:pPr>
              <w:spacing w:before="0" w:after="0"/>
              <w:jc w:val="right"/>
              <w:rPr>
                <w:rFonts w:cs="Arial"/>
                <w:b/>
                <w:bCs/>
                <w:sz w:val="20"/>
                <w:szCs w:val="20"/>
                <w:lang w:val="es-ES_tradnl" w:eastAsia="en-US"/>
              </w:rPr>
            </w:pPr>
            <w:r w:rsidRPr="00AD7BA2">
              <w:rPr>
                <w:rFonts w:cs="Arial"/>
                <w:b/>
                <w:bCs/>
                <w:sz w:val="20"/>
                <w:szCs w:val="20"/>
                <w:lang w:val="es-ES_tradnl" w:eastAsia="en-US"/>
              </w:rPr>
              <w:fldChar w:fldCharType="begin"/>
            </w:r>
            <w:r w:rsidRPr="00AD7BA2">
              <w:rPr>
                <w:rFonts w:cs="Arial"/>
                <w:b/>
                <w:bCs/>
                <w:sz w:val="20"/>
                <w:szCs w:val="20"/>
                <w:lang w:val="es-ES_tradnl" w:eastAsia="en-US"/>
              </w:rPr>
              <w:instrText xml:space="preserve"> =SUM(ABOVE) </w:instrText>
            </w:r>
            <w:r w:rsidRPr="00AD7BA2">
              <w:rPr>
                <w:rFonts w:cs="Arial"/>
                <w:b/>
                <w:bCs/>
                <w:sz w:val="20"/>
                <w:szCs w:val="20"/>
                <w:lang w:val="es-ES_tradnl" w:eastAsia="en-US"/>
              </w:rPr>
              <w:fldChar w:fldCharType="separate"/>
            </w:r>
            <w:r w:rsidR="00E11EEC">
              <w:rPr>
                <w:rFonts w:cs="Arial"/>
                <w:b/>
                <w:bCs/>
                <w:noProof/>
                <w:sz w:val="20"/>
                <w:szCs w:val="20"/>
                <w:lang w:val="es-ES_tradnl" w:eastAsia="en-US"/>
              </w:rPr>
              <w:t>6,358</w:t>
            </w:r>
            <w:r w:rsidRPr="00AD7BA2">
              <w:rPr>
                <w:rFonts w:cs="Arial"/>
                <w:b/>
                <w:bCs/>
                <w:sz w:val="20"/>
                <w:szCs w:val="20"/>
                <w:lang w:val="es-ES_tradnl" w:eastAsia="en-US"/>
              </w:rPr>
              <w:fldChar w:fldCharType="end"/>
            </w:r>
          </w:p>
        </w:tc>
        <w:tc>
          <w:tcPr>
            <w:tcW w:w="1302" w:type="dxa"/>
            <w:tcBorders>
              <w:top w:val="nil"/>
              <w:left w:val="nil"/>
              <w:bottom w:val="single" w:sz="8" w:space="0" w:color="auto"/>
              <w:right w:val="single" w:sz="4" w:space="0" w:color="auto"/>
            </w:tcBorders>
            <w:shd w:val="clear" w:color="auto" w:fill="auto"/>
            <w:noWrap/>
            <w:hideMark/>
          </w:tcPr>
          <w:p w14:paraId="0046A78B" w14:textId="03B85780" w:rsidR="004A0796" w:rsidRPr="00AD7BA2" w:rsidRDefault="00AD7BA2" w:rsidP="00AD7BA2">
            <w:pPr>
              <w:spacing w:before="0" w:after="0"/>
              <w:jc w:val="right"/>
              <w:rPr>
                <w:rFonts w:cs="Arial"/>
                <w:b/>
                <w:bCs/>
                <w:sz w:val="20"/>
                <w:szCs w:val="20"/>
                <w:lang w:val="es-ES_tradnl" w:eastAsia="en-US"/>
              </w:rPr>
            </w:pPr>
            <w:r w:rsidRPr="00AD7BA2">
              <w:rPr>
                <w:rFonts w:cs="Arial"/>
                <w:b/>
                <w:bCs/>
                <w:sz w:val="20"/>
                <w:szCs w:val="20"/>
                <w:lang w:val="es-ES_tradnl" w:eastAsia="en-US"/>
              </w:rPr>
              <w:fldChar w:fldCharType="begin"/>
            </w:r>
            <w:r w:rsidRPr="00AD7BA2">
              <w:rPr>
                <w:rFonts w:cs="Arial"/>
                <w:b/>
                <w:bCs/>
                <w:sz w:val="20"/>
                <w:szCs w:val="20"/>
                <w:lang w:val="es-ES_tradnl" w:eastAsia="en-US"/>
              </w:rPr>
              <w:instrText xml:space="preserve"> =SUM(LEFT) </w:instrText>
            </w:r>
            <w:r w:rsidRPr="00AD7BA2">
              <w:rPr>
                <w:rFonts w:cs="Arial"/>
                <w:b/>
                <w:bCs/>
                <w:sz w:val="20"/>
                <w:szCs w:val="20"/>
                <w:lang w:val="es-ES_tradnl" w:eastAsia="en-US"/>
              </w:rPr>
              <w:fldChar w:fldCharType="separate"/>
            </w:r>
            <w:r w:rsidR="00E11EEC">
              <w:rPr>
                <w:rFonts w:cs="Arial"/>
                <w:b/>
                <w:bCs/>
                <w:noProof/>
                <w:sz w:val="20"/>
                <w:szCs w:val="20"/>
                <w:lang w:val="es-ES_tradnl" w:eastAsia="en-US"/>
              </w:rPr>
              <w:t>58,418</w:t>
            </w:r>
            <w:r w:rsidRPr="00AD7BA2">
              <w:rPr>
                <w:rFonts w:cs="Arial"/>
                <w:b/>
                <w:bCs/>
                <w:sz w:val="20"/>
                <w:szCs w:val="20"/>
                <w:lang w:val="es-ES_tradnl" w:eastAsia="en-US"/>
              </w:rPr>
              <w:fldChar w:fldCharType="end"/>
            </w:r>
          </w:p>
        </w:tc>
      </w:tr>
      <w:bookmarkEnd w:id="113"/>
    </w:tbl>
    <w:p w14:paraId="19F63701" w14:textId="77777777" w:rsidR="00DD068D" w:rsidRDefault="00DD068D" w:rsidP="009A4218">
      <w:pPr>
        <w:pStyle w:val="Textoindependiente"/>
        <w:rPr>
          <w:sz w:val="22"/>
          <w:szCs w:val="22"/>
        </w:rPr>
      </w:pPr>
    </w:p>
    <w:p w14:paraId="39D4B59D" w14:textId="1242C4BC" w:rsidR="0027160C" w:rsidRDefault="00E224F1" w:rsidP="00853FBE">
      <w:pPr>
        <w:pStyle w:val="Textoindependiente"/>
        <w:ind w:firstLine="567"/>
        <w:rPr>
          <w:sz w:val="22"/>
          <w:szCs w:val="22"/>
        </w:rPr>
      </w:pPr>
      <w:r w:rsidRPr="00C31B82">
        <w:rPr>
          <w:sz w:val="22"/>
          <w:szCs w:val="22"/>
        </w:rPr>
        <w:t>El número medio de personas empleadas en el</w:t>
      </w:r>
      <w:r w:rsidR="00853FBE">
        <w:rPr>
          <w:sz w:val="22"/>
          <w:szCs w:val="22"/>
        </w:rPr>
        <w:t xml:space="preserve"> ejercicio </w:t>
      </w:r>
      <w:r w:rsidR="000253BC">
        <w:rPr>
          <w:sz w:val="22"/>
          <w:szCs w:val="22"/>
        </w:rPr>
        <w:t>2020</w:t>
      </w:r>
      <w:r w:rsidR="00853FBE">
        <w:rPr>
          <w:sz w:val="22"/>
          <w:szCs w:val="22"/>
        </w:rPr>
        <w:t xml:space="preserve"> del personal de la sociedad, desglosado en un número suficiente de categorías y niveles es el siguiente:</w:t>
      </w:r>
    </w:p>
    <w:tbl>
      <w:tblPr>
        <w:tblW w:w="8416" w:type="dxa"/>
        <w:tblInd w:w="93" w:type="dxa"/>
        <w:tblLook w:val="04A0" w:firstRow="1" w:lastRow="0" w:firstColumn="1" w:lastColumn="0" w:noHBand="0" w:noVBand="1"/>
      </w:tblPr>
      <w:tblGrid>
        <w:gridCol w:w="3326"/>
        <w:gridCol w:w="1123"/>
        <w:gridCol w:w="907"/>
        <w:gridCol w:w="1123"/>
        <w:gridCol w:w="907"/>
        <w:gridCol w:w="1030"/>
      </w:tblGrid>
      <w:tr w:rsidR="00E224F1" w:rsidRPr="00E224F1" w14:paraId="6E0103BE" w14:textId="77777777" w:rsidTr="00E224F1">
        <w:trPr>
          <w:trHeight w:val="387"/>
        </w:trPr>
        <w:tc>
          <w:tcPr>
            <w:tcW w:w="3326" w:type="dxa"/>
            <w:tcBorders>
              <w:top w:val="single" w:sz="8" w:space="0" w:color="auto"/>
              <w:left w:val="single" w:sz="4" w:space="0" w:color="auto"/>
              <w:bottom w:val="single" w:sz="4" w:space="0" w:color="auto"/>
              <w:right w:val="nil"/>
            </w:tcBorders>
            <w:shd w:val="clear" w:color="auto" w:fill="auto"/>
            <w:noWrap/>
            <w:vAlign w:val="bottom"/>
            <w:hideMark/>
          </w:tcPr>
          <w:p w14:paraId="77BA3934" w14:textId="77777777" w:rsidR="00E224F1" w:rsidRPr="00E224F1" w:rsidRDefault="00E224F1" w:rsidP="00E224F1">
            <w:pPr>
              <w:spacing w:before="0" w:after="0"/>
              <w:jc w:val="center"/>
              <w:rPr>
                <w:rFonts w:cs="Arial"/>
                <w:b/>
                <w:bCs/>
                <w:lang w:val="es-ES_tradnl" w:eastAsia="en-US"/>
              </w:rPr>
            </w:pPr>
            <w:r w:rsidRPr="00E224F1">
              <w:rPr>
                <w:rFonts w:cs="Arial"/>
                <w:b/>
                <w:bCs/>
                <w:lang w:val="es-ES_tradnl" w:eastAsia="en-US"/>
              </w:rPr>
              <w:t>Departamento</w:t>
            </w:r>
          </w:p>
        </w:tc>
        <w:tc>
          <w:tcPr>
            <w:tcW w:w="40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316B57" w14:textId="77777777" w:rsidR="00E224F1" w:rsidRPr="00E224F1" w:rsidRDefault="00E224F1" w:rsidP="00E224F1">
            <w:pPr>
              <w:spacing w:before="0" w:after="0"/>
              <w:jc w:val="center"/>
              <w:rPr>
                <w:rFonts w:cs="Arial"/>
                <w:b/>
                <w:bCs/>
                <w:lang w:val="es-ES_tradnl" w:eastAsia="en-US"/>
              </w:rPr>
            </w:pPr>
            <w:r w:rsidRPr="00E224F1">
              <w:rPr>
                <w:rFonts w:cs="Arial"/>
                <w:b/>
                <w:bCs/>
                <w:lang w:val="es-ES_tradnl" w:eastAsia="en-US"/>
              </w:rPr>
              <w:t>TOTAL EMPRESA</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4773B3" w14:textId="61FC0E2C" w:rsidR="00E224F1" w:rsidRDefault="000253BC" w:rsidP="00E224F1">
            <w:pPr>
              <w:spacing w:before="0" w:after="0"/>
              <w:jc w:val="center"/>
              <w:rPr>
                <w:rFonts w:cs="Arial"/>
                <w:b/>
                <w:bCs/>
                <w:sz w:val="20"/>
                <w:szCs w:val="20"/>
                <w:lang w:val="es-ES_tradnl" w:eastAsia="en-US"/>
              </w:rPr>
            </w:pPr>
            <w:r>
              <w:rPr>
                <w:rFonts w:cs="Arial"/>
                <w:b/>
                <w:bCs/>
                <w:sz w:val="20"/>
                <w:szCs w:val="20"/>
                <w:lang w:val="es-ES_tradnl" w:eastAsia="en-US"/>
              </w:rPr>
              <w:t>2020</w:t>
            </w:r>
          </w:p>
          <w:p w14:paraId="08EFAE5E" w14:textId="64D555BF" w:rsidR="00E224F1" w:rsidRPr="00E224F1" w:rsidRDefault="00E224F1" w:rsidP="00E224F1">
            <w:pPr>
              <w:spacing w:before="0" w:after="0"/>
              <w:jc w:val="center"/>
              <w:rPr>
                <w:rFonts w:cs="Arial"/>
                <w:b/>
                <w:bCs/>
                <w:sz w:val="20"/>
                <w:szCs w:val="20"/>
                <w:lang w:val="es-ES_tradnl" w:eastAsia="en-US"/>
              </w:rPr>
            </w:pPr>
          </w:p>
        </w:tc>
      </w:tr>
      <w:tr w:rsidR="00E224F1" w:rsidRPr="00E224F1" w14:paraId="6006CC2F" w14:textId="77777777" w:rsidTr="00E224F1">
        <w:trPr>
          <w:trHeight w:val="259"/>
        </w:trPr>
        <w:tc>
          <w:tcPr>
            <w:tcW w:w="3326" w:type="dxa"/>
            <w:tcBorders>
              <w:top w:val="nil"/>
              <w:left w:val="single" w:sz="4" w:space="0" w:color="auto"/>
              <w:bottom w:val="single" w:sz="4" w:space="0" w:color="auto"/>
              <w:right w:val="nil"/>
            </w:tcBorders>
            <w:shd w:val="clear" w:color="auto" w:fill="auto"/>
            <w:noWrap/>
            <w:vAlign w:val="bottom"/>
            <w:hideMark/>
          </w:tcPr>
          <w:p w14:paraId="37F987AF" w14:textId="3B2E88C6" w:rsidR="00E224F1" w:rsidRPr="00E224F1" w:rsidRDefault="00E224F1" w:rsidP="00E224F1">
            <w:pPr>
              <w:spacing w:before="0" w:after="0"/>
              <w:jc w:val="center"/>
              <w:rPr>
                <w:rFonts w:cs="Arial"/>
                <w:b/>
                <w:bCs/>
                <w:sz w:val="20"/>
                <w:szCs w:val="20"/>
                <w:lang w:val="es-ES_tradnl" w:eastAsia="en-US"/>
              </w:rPr>
            </w:pPr>
            <w:r w:rsidRPr="00E224F1">
              <w:rPr>
                <w:rFonts w:cs="Arial"/>
                <w:b/>
                <w:bCs/>
                <w:sz w:val="20"/>
                <w:szCs w:val="20"/>
                <w:lang w:val="es-ES_tradnl" w:eastAsia="en-US"/>
              </w:rPr>
              <w:t>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7218F"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FIJOS</w:t>
            </w: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F54C0"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EVENTUALES</w:t>
            </w: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74D30F81" w14:textId="77777777" w:rsidR="00E224F1" w:rsidRPr="00E224F1" w:rsidRDefault="00E224F1" w:rsidP="00E224F1">
            <w:pPr>
              <w:spacing w:before="0" w:after="0"/>
              <w:rPr>
                <w:rFonts w:cs="Arial"/>
                <w:b/>
                <w:bCs/>
                <w:sz w:val="20"/>
                <w:szCs w:val="20"/>
                <w:lang w:val="es-ES_tradnl" w:eastAsia="en-US"/>
              </w:rPr>
            </w:pPr>
          </w:p>
        </w:tc>
      </w:tr>
      <w:tr w:rsidR="00E224F1" w:rsidRPr="00E224F1" w14:paraId="37852B9F" w14:textId="77777777" w:rsidTr="00E224F1">
        <w:trPr>
          <w:trHeight w:val="270"/>
        </w:trPr>
        <w:tc>
          <w:tcPr>
            <w:tcW w:w="3326" w:type="dxa"/>
            <w:tcBorders>
              <w:top w:val="nil"/>
              <w:left w:val="single" w:sz="4" w:space="0" w:color="auto"/>
              <w:bottom w:val="single" w:sz="4" w:space="0" w:color="auto"/>
              <w:right w:val="nil"/>
            </w:tcBorders>
            <w:shd w:val="clear" w:color="auto" w:fill="auto"/>
            <w:noWrap/>
            <w:vAlign w:val="bottom"/>
            <w:hideMark/>
          </w:tcPr>
          <w:p w14:paraId="7FD41EE2" w14:textId="77777777" w:rsidR="00E224F1" w:rsidRPr="00E224F1" w:rsidRDefault="00E224F1" w:rsidP="00E224F1">
            <w:pPr>
              <w:spacing w:before="0" w:after="0"/>
              <w:jc w:val="center"/>
              <w:rPr>
                <w:rFonts w:cs="Arial"/>
                <w:b/>
                <w:bCs/>
                <w:sz w:val="20"/>
                <w:szCs w:val="20"/>
                <w:lang w:val="es-ES_tradnl" w:eastAsia="en-US"/>
              </w:rPr>
            </w:pPr>
            <w:r w:rsidRPr="00E224F1">
              <w:rPr>
                <w:rFonts w:cs="Arial"/>
                <w:b/>
                <w:bCs/>
                <w:sz w:val="20"/>
                <w:szCs w:val="20"/>
                <w:lang w:val="es-ES_tradnl" w:eastAsia="en-US"/>
              </w:rPr>
              <w:t> </w:t>
            </w:r>
          </w:p>
        </w:tc>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07B1AEF4"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HOMBRES</w:t>
            </w:r>
          </w:p>
        </w:tc>
        <w:tc>
          <w:tcPr>
            <w:tcW w:w="907" w:type="dxa"/>
            <w:tcBorders>
              <w:top w:val="nil"/>
              <w:left w:val="nil"/>
              <w:bottom w:val="single" w:sz="4" w:space="0" w:color="auto"/>
              <w:right w:val="single" w:sz="4" w:space="0" w:color="auto"/>
            </w:tcBorders>
            <w:shd w:val="clear" w:color="auto" w:fill="auto"/>
            <w:noWrap/>
            <w:vAlign w:val="bottom"/>
            <w:hideMark/>
          </w:tcPr>
          <w:p w14:paraId="46917B04"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MUJER</w:t>
            </w:r>
          </w:p>
        </w:tc>
        <w:tc>
          <w:tcPr>
            <w:tcW w:w="1123" w:type="dxa"/>
            <w:tcBorders>
              <w:top w:val="nil"/>
              <w:left w:val="nil"/>
              <w:bottom w:val="single" w:sz="4" w:space="0" w:color="auto"/>
              <w:right w:val="single" w:sz="4" w:space="0" w:color="auto"/>
            </w:tcBorders>
            <w:shd w:val="clear" w:color="auto" w:fill="auto"/>
            <w:noWrap/>
            <w:vAlign w:val="bottom"/>
            <w:hideMark/>
          </w:tcPr>
          <w:p w14:paraId="56292104"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HOMBRES</w:t>
            </w:r>
          </w:p>
        </w:tc>
        <w:tc>
          <w:tcPr>
            <w:tcW w:w="907" w:type="dxa"/>
            <w:tcBorders>
              <w:top w:val="nil"/>
              <w:left w:val="nil"/>
              <w:bottom w:val="single" w:sz="4" w:space="0" w:color="auto"/>
              <w:right w:val="single" w:sz="4" w:space="0" w:color="auto"/>
            </w:tcBorders>
            <w:shd w:val="clear" w:color="auto" w:fill="auto"/>
            <w:noWrap/>
            <w:vAlign w:val="bottom"/>
            <w:hideMark/>
          </w:tcPr>
          <w:p w14:paraId="02E48B1F" w14:textId="77777777" w:rsidR="00E224F1" w:rsidRPr="00E224F1" w:rsidRDefault="00E224F1" w:rsidP="00E224F1">
            <w:pPr>
              <w:spacing w:before="0" w:after="0"/>
              <w:jc w:val="center"/>
              <w:rPr>
                <w:rFonts w:cs="Arial"/>
                <w:sz w:val="16"/>
                <w:szCs w:val="16"/>
                <w:lang w:val="es-ES_tradnl" w:eastAsia="en-US"/>
              </w:rPr>
            </w:pPr>
            <w:r w:rsidRPr="00E224F1">
              <w:rPr>
                <w:rFonts w:cs="Arial"/>
                <w:sz w:val="16"/>
                <w:szCs w:val="16"/>
                <w:lang w:val="es-ES_tradnl" w:eastAsia="en-US"/>
              </w:rPr>
              <w:t>MUJER</w:t>
            </w: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14B9D09F" w14:textId="77777777" w:rsidR="00E224F1" w:rsidRPr="00E224F1" w:rsidRDefault="00E224F1" w:rsidP="00E224F1">
            <w:pPr>
              <w:spacing w:before="0" w:after="0"/>
              <w:rPr>
                <w:rFonts w:cs="Arial"/>
                <w:b/>
                <w:bCs/>
                <w:sz w:val="20"/>
                <w:szCs w:val="20"/>
                <w:lang w:val="es-ES_tradnl" w:eastAsia="en-US"/>
              </w:rPr>
            </w:pPr>
          </w:p>
        </w:tc>
      </w:tr>
      <w:tr w:rsidR="00E626A7" w:rsidRPr="00E224F1" w14:paraId="381112EA" w14:textId="77777777" w:rsidTr="001248A9">
        <w:trPr>
          <w:trHeight w:val="270"/>
        </w:trPr>
        <w:tc>
          <w:tcPr>
            <w:tcW w:w="3326" w:type="dxa"/>
            <w:tcBorders>
              <w:top w:val="nil"/>
              <w:left w:val="single" w:sz="4" w:space="0" w:color="auto"/>
              <w:bottom w:val="single" w:sz="4" w:space="0" w:color="auto"/>
              <w:right w:val="nil"/>
            </w:tcBorders>
            <w:shd w:val="clear" w:color="auto" w:fill="auto"/>
            <w:noWrap/>
            <w:vAlign w:val="bottom"/>
            <w:hideMark/>
          </w:tcPr>
          <w:p w14:paraId="0AE744A9" w14:textId="009D0526"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Comercial</w:t>
            </w:r>
          </w:p>
        </w:tc>
        <w:tc>
          <w:tcPr>
            <w:tcW w:w="11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41CF53" w14:textId="7C56F53F" w:rsidR="00E626A7" w:rsidRPr="00E224F1" w:rsidRDefault="00E626A7" w:rsidP="00E626A7">
            <w:pPr>
              <w:spacing w:before="0" w:after="0"/>
              <w:jc w:val="center"/>
              <w:rPr>
                <w:rFonts w:cs="Arial"/>
                <w:sz w:val="16"/>
                <w:szCs w:val="16"/>
                <w:lang w:val="es-ES_tradnl" w:eastAsia="en-US"/>
              </w:rPr>
            </w:pPr>
            <w:r>
              <w:rPr>
                <w:rFonts w:cs="Arial"/>
                <w:sz w:val="20"/>
                <w:szCs w:val="20"/>
              </w:rPr>
              <w:t>0,250</w:t>
            </w:r>
          </w:p>
        </w:tc>
        <w:tc>
          <w:tcPr>
            <w:tcW w:w="907" w:type="dxa"/>
            <w:tcBorders>
              <w:top w:val="single" w:sz="4" w:space="0" w:color="auto"/>
              <w:left w:val="nil"/>
              <w:bottom w:val="single" w:sz="4" w:space="0" w:color="auto"/>
              <w:right w:val="single" w:sz="4" w:space="0" w:color="auto"/>
            </w:tcBorders>
            <w:shd w:val="clear" w:color="000000" w:fill="D9D9D9"/>
            <w:noWrap/>
            <w:vAlign w:val="bottom"/>
            <w:hideMark/>
          </w:tcPr>
          <w:p w14:paraId="28BB8B61" w14:textId="6524AE1A" w:rsidR="00E626A7" w:rsidRPr="00E224F1" w:rsidRDefault="00E626A7" w:rsidP="00E626A7">
            <w:pPr>
              <w:spacing w:before="0" w:after="0"/>
              <w:jc w:val="center"/>
              <w:rPr>
                <w:rFonts w:cs="Arial"/>
                <w:sz w:val="16"/>
                <w:szCs w:val="16"/>
                <w:lang w:val="es-ES_tradnl" w:eastAsia="en-US"/>
              </w:rPr>
            </w:pPr>
            <w:r>
              <w:rPr>
                <w:rFonts w:cs="Arial"/>
                <w:sz w:val="20"/>
                <w:szCs w:val="20"/>
              </w:rPr>
              <w:t>0,250</w:t>
            </w:r>
          </w:p>
        </w:tc>
        <w:tc>
          <w:tcPr>
            <w:tcW w:w="1123" w:type="dxa"/>
            <w:tcBorders>
              <w:top w:val="single" w:sz="4" w:space="0" w:color="auto"/>
              <w:left w:val="nil"/>
              <w:bottom w:val="single" w:sz="4" w:space="0" w:color="auto"/>
              <w:right w:val="single" w:sz="4" w:space="0" w:color="auto"/>
            </w:tcBorders>
            <w:shd w:val="clear" w:color="000000" w:fill="D9D9D9"/>
            <w:noWrap/>
            <w:vAlign w:val="bottom"/>
            <w:hideMark/>
          </w:tcPr>
          <w:p w14:paraId="3DDED51D" w14:textId="3DC3D7F1"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single" w:sz="4" w:space="0" w:color="auto"/>
              <w:left w:val="nil"/>
              <w:bottom w:val="single" w:sz="4" w:space="0" w:color="auto"/>
              <w:right w:val="single" w:sz="4" w:space="0" w:color="auto"/>
            </w:tcBorders>
            <w:shd w:val="clear" w:color="000000" w:fill="D9D9D9"/>
            <w:noWrap/>
            <w:vAlign w:val="bottom"/>
            <w:hideMark/>
          </w:tcPr>
          <w:p w14:paraId="28A2A150" w14:textId="3C004FAB"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0213437F" w14:textId="73AA6272" w:rsidR="00E626A7" w:rsidRPr="00E224F1" w:rsidRDefault="00E626A7" w:rsidP="00E626A7">
            <w:pPr>
              <w:spacing w:before="0" w:after="0"/>
              <w:jc w:val="right"/>
              <w:rPr>
                <w:rFonts w:cs="Arial"/>
                <w:sz w:val="20"/>
                <w:szCs w:val="20"/>
                <w:lang w:val="es-ES_tradnl" w:eastAsia="en-US"/>
              </w:rPr>
            </w:pPr>
            <w:r>
              <w:rPr>
                <w:rFonts w:cs="Arial"/>
                <w:sz w:val="20"/>
                <w:szCs w:val="20"/>
              </w:rPr>
              <w:t>0,500</w:t>
            </w:r>
          </w:p>
        </w:tc>
      </w:tr>
      <w:tr w:rsidR="00E626A7" w:rsidRPr="00E224F1" w14:paraId="1EFA4595"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20F6232" w14:textId="3A33B434"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Dirección</w:t>
            </w:r>
          </w:p>
        </w:tc>
        <w:tc>
          <w:tcPr>
            <w:tcW w:w="1123" w:type="dxa"/>
            <w:tcBorders>
              <w:top w:val="nil"/>
              <w:left w:val="nil"/>
              <w:bottom w:val="single" w:sz="4" w:space="0" w:color="auto"/>
              <w:right w:val="single" w:sz="4" w:space="0" w:color="auto"/>
            </w:tcBorders>
            <w:shd w:val="clear" w:color="000000" w:fill="D9D9D9"/>
            <w:noWrap/>
            <w:vAlign w:val="bottom"/>
            <w:hideMark/>
          </w:tcPr>
          <w:p w14:paraId="2336D1B6" w14:textId="220F77A7" w:rsidR="00E626A7" w:rsidRPr="00E224F1" w:rsidRDefault="00E626A7" w:rsidP="00E626A7">
            <w:pPr>
              <w:spacing w:before="0" w:after="0"/>
              <w:jc w:val="center"/>
              <w:rPr>
                <w:rFonts w:cs="Arial"/>
                <w:sz w:val="16"/>
                <w:szCs w:val="16"/>
                <w:lang w:val="es-ES_tradnl" w:eastAsia="en-US"/>
              </w:rPr>
            </w:pPr>
            <w:r>
              <w:rPr>
                <w:rFonts w:cs="Arial"/>
                <w:sz w:val="20"/>
                <w:szCs w:val="20"/>
              </w:rPr>
              <w:t>1,000</w:t>
            </w:r>
          </w:p>
        </w:tc>
        <w:tc>
          <w:tcPr>
            <w:tcW w:w="907" w:type="dxa"/>
            <w:tcBorders>
              <w:top w:val="nil"/>
              <w:left w:val="nil"/>
              <w:bottom w:val="single" w:sz="4" w:space="0" w:color="auto"/>
              <w:right w:val="single" w:sz="4" w:space="0" w:color="auto"/>
            </w:tcBorders>
            <w:shd w:val="clear" w:color="000000" w:fill="D9D9D9"/>
            <w:noWrap/>
            <w:vAlign w:val="bottom"/>
            <w:hideMark/>
          </w:tcPr>
          <w:p w14:paraId="0917F9C8" w14:textId="053CA8C7" w:rsidR="00E626A7" w:rsidRPr="00E224F1" w:rsidRDefault="00E626A7" w:rsidP="00E626A7">
            <w:pPr>
              <w:spacing w:before="0" w:after="0"/>
              <w:jc w:val="center"/>
              <w:rPr>
                <w:rFonts w:cs="Arial"/>
                <w:sz w:val="16"/>
                <w:szCs w:val="16"/>
                <w:lang w:val="es-ES_tradnl" w:eastAsia="en-US"/>
              </w:rPr>
            </w:pPr>
            <w:r>
              <w:rPr>
                <w:rFonts w:cs="Arial"/>
                <w:sz w:val="20"/>
                <w:szCs w:val="20"/>
              </w:rPr>
              <w:t>1,250</w:t>
            </w:r>
          </w:p>
        </w:tc>
        <w:tc>
          <w:tcPr>
            <w:tcW w:w="1123" w:type="dxa"/>
            <w:tcBorders>
              <w:top w:val="nil"/>
              <w:left w:val="nil"/>
              <w:bottom w:val="single" w:sz="4" w:space="0" w:color="auto"/>
              <w:right w:val="single" w:sz="4" w:space="0" w:color="auto"/>
            </w:tcBorders>
            <w:shd w:val="clear" w:color="000000" w:fill="D9D9D9"/>
            <w:noWrap/>
            <w:vAlign w:val="bottom"/>
            <w:hideMark/>
          </w:tcPr>
          <w:p w14:paraId="77D61CC8" w14:textId="07869EC8"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6C1B2E86" w14:textId="7F3E4AD0"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69D4ACE9" w14:textId="20DD4413" w:rsidR="00E626A7" w:rsidRPr="00E224F1" w:rsidRDefault="00E626A7" w:rsidP="00E626A7">
            <w:pPr>
              <w:spacing w:before="0" w:after="0"/>
              <w:jc w:val="right"/>
              <w:rPr>
                <w:rFonts w:cs="Arial"/>
                <w:sz w:val="20"/>
                <w:szCs w:val="20"/>
                <w:lang w:val="es-ES_tradnl" w:eastAsia="en-US"/>
              </w:rPr>
            </w:pPr>
            <w:r>
              <w:rPr>
                <w:rFonts w:cs="Arial"/>
                <w:sz w:val="20"/>
                <w:szCs w:val="20"/>
              </w:rPr>
              <w:t>2,250</w:t>
            </w:r>
          </w:p>
        </w:tc>
      </w:tr>
      <w:tr w:rsidR="00E626A7" w:rsidRPr="00E224F1" w14:paraId="1D0BD89A"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24C1DEE" w14:textId="68C92CAC"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Administración</w:t>
            </w:r>
          </w:p>
        </w:tc>
        <w:tc>
          <w:tcPr>
            <w:tcW w:w="1123" w:type="dxa"/>
            <w:tcBorders>
              <w:top w:val="nil"/>
              <w:left w:val="nil"/>
              <w:bottom w:val="single" w:sz="4" w:space="0" w:color="auto"/>
              <w:right w:val="single" w:sz="4" w:space="0" w:color="auto"/>
            </w:tcBorders>
            <w:shd w:val="clear" w:color="000000" w:fill="D9D9D9"/>
            <w:noWrap/>
            <w:vAlign w:val="bottom"/>
            <w:hideMark/>
          </w:tcPr>
          <w:p w14:paraId="3D24DACC" w14:textId="2876C15D" w:rsidR="00E626A7" w:rsidRPr="00E224F1" w:rsidRDefault="00E626A7" w:rsidP="00E626A7">
            <w:pPr>
              <w:spacing w:before="0" w:after="0"/>
              <w:jc w:val="center"/>
              <w:rPr>
                <w:rFonts w:cs="Arial"/>
                <w:sz w:val="16"/>
                <w:szCs w:val="16"/>
                <w:lang w:val="es-ES_tradnl" w:eastAsia="en-US"/>
              </w:rPr>
            </w:pPr>
            <w:r>
              <w:rPr>
                <w:rFonts w:cs="Arial"/>
                <w:sz w:val="20"/>
                <w:szCs w:val="20"/>
              </w:rPr>
              <w:t>0,500</w:t>
            </w:r>
          </w:p>
        </w:tc>
        <w:tc>
          <w:tcPr>
            <w:tcW w:w="907" w:type="dxa"/>
            <w:tcBorders>
              <w:top w:val="nil"/>
              <w:left w:val="nil"/>
              <w:bottom w:val="single" w:sz="4" w:space="0" w:color="auto"/>
              <w:right w:val="single" w:sz="4" w:space="0" w:color="auto"/>
            </w:tcBorders>
            <w:shd w:val="clear" w:color="000000" w:fill="D9D9D9"/>
            <w:noWrap/>
            <w:vAlign w:val="bottom"/>
            <w:hideMark/>
          </w:tcPr>
          <w:p w14:paraId="49EAABD0" w14:textId="59C1AFB9" w:rsidR="00E626A7" w:rsidRPr="00E224F1" w:rsidRDefault="00E626A7" w:rsidP="00E626A7">
            <w:pPr>
              <w:spacing w:before="0" w:after="0"/>
              <w:jc w:val="center"/>
              <w:rPr>
                <w:rFonts w:cs="Arial"/>
                <w:sz w:val="16"/>
                <w:szCs w:val="16"/>
                <w:lang w:val="es-ES_tradnl" w:eastAsia="en-US"/>
              </w:rPr>
            </w:pPr>
            <w:r>
              <w:rPr>
                <w:rFonts w:cs="Arial"/>
                <w:sz w:val="20"/>
                <w:szCs w:val="20"/>
              </w:rPr>
              <w:t>0,500</w:t>
            </w:r>
          </w:p>
        </w:tc>
        <w:tc>
          <w:tcPr>
            <w:tcW w:w="1123" w:type="dxa"/>
            <w:tcBorders>
              <w:top w:val="nil"/>
              <w:left w:val="nil"/>
              <w:bottom w:val="single" w:sz="4" w:space="0" w:color="auto"/>
              <w:right w:val="single" w:sz="4" w:space="0" w:color="auto"/>
            </w:tcBorders>
            <w:shd w:val="clear" w:color="000000" w:fill="D9D9D9"/>
            <w:noWrap/>
            <w:vAlign w:val="bottom"/>
            <w:hideMark/>
          </w:tcPr>
          <w:p w14:paraId="4ACE2407" w14:textId="0B66F80C"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6148F5BC" w14:textId="161C4B59"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47081B4B" w14:textId="09C00E82" w:rsidR="00E626A7" w:rsidRPr="00E224F1" w:rsidRDefault="00E626A7" w:rsidP="00E626A7">
            <w:pPr>
              <w:spacing w:before="0" w:after="0"/>
              <w:jc w:val="right"/>
              <w:rPr>
                <w:rFonts w:cs="Arial"/>
                <w:sz w:val="20"/>
                <w:szCs w:val="20"/>
                <w:lang w:val="es-ES_tradnl" w:eastAsia="en-US"/>
              </w:rPr>
            </w:pPr>
            <w:r>
              <w:rPr>
                <w:rFonts w:cs="Arial"/>
                <w:sz w:val="20"/>
                <w:szCs w:val="20"/>
              </w:rPr>
              <w:t>1,000</w:t>
            </w:r>
          </w:p>
        </w:tc>
      </w:tr>
      <w:tr w:rsidR="00E626A7" w:rsidRPr="00E224F1" w14:paraId="31E5410E"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6A8142F1" w14:textId="391182ED"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Economato</w:t>
            </w:r>
          </w:p>
        </w:tc>
        <w:tc>
          <w:tcPr>
            <w:tcW w:w="1123" w:type="dxa"/>
            <w:tcBorders>
              <w:top w:val="nil"/>
              <w:left w:val="nil"/>
              <w:bottom w:val="single" w:sz="4" w:space="0" w:color="auto"/>
              <w:right w:val="single" w:sz="4" w:space="0" w:color="auto"/>
            </w:tcBorders>
            <w:shd w:val="clear" w:color="000000" w:fill="D9D9D9"/>
            <w:noWrap/>
            <w:vAlign w:val="bottom"/>
            <w:hideMark/>
          </w:tcPr>
          <w:p w14:paraId="7BF1FDD3" w14:textId="1FB98B7B" w:rsidR="00E626A7" w:rsidRPr="00E224F1" w:rsidRDefault="00E626A7" w:rsidP="00E626A7">
            <w:pPr>
              <w:spacing w:before="0" w:after="0"/>
              <w:jc w:val="center"/>
              <w:rPr>
                <w:rFonts w:cs="Arial"/>
                <w:sz w:val="16"/>
                <w:szCs w:val="16"/>
                <w:lang w:val="es-ES_tradnl" w:eastAsia="en-US"/>
              </w:rPr>
            </w:pPr>
            <w:r>
              <w:rPr>
                <w:rFonts w:cs="Arial"/>
                <w:sz w:val="20"/>
                <w:szCs w:val="20"/>
              </w:rPr>
              <w:t>0,500</w:t>
            </w:r>
          </w:p>
        </w:tc>
        <w:tc>
          <w:tcPr>
            <w:tcW w:w="907" w:type="dxa"/>
            <w:tcBorders>
              <w:top w:val="nil"/>
              <w:left w:val="nil"/>
              <w:bottom w:val="single" w:sz="4" w:space="0" w:color="auto"/>
              <w:right w:val="single" w:sz="4" w:space="0" w:color="auto"/>
            </w:tcBorders>
            <w:shd w:val="clear" w:color="000000" w:fill="D9D9D9"/>
            <w:noWrap/>
            <w:vAlign w:val="bottom"/>
            <w:hideMark/>
          </w:tcPr>
          <w:p w14:paraId="0DA38589" w14:textId="2F761FA7" w:rsidR="00E626A7" w:rsidRPr="00E224F1" w:rsidRDefault="00E626A7" w:rsidP="00E626A7">
            <w:pPr>
              <w:spacing w:before="0" w:after="0"/>
              <w:jc w:val="center"/>
              <w:rPr>
                <w:rFonts w:cs="Arial"/>
                <w:sz w:val="16"/>
                <w:szCs w:val="16"/>
                <w:lang w:val="es-ES_tradnl" w:eastAsia="en-US"/>
              </w:rPr>
            </w:pPr>
            <w:r>
              <w:rPr>
                <w:rFonts w:cs="Arial"/>
                <w:sz w:val="20"/>
                <w:szCs w:val="20"/>
              </w:rPr>
              <w:t>0,250</w:t>
            </w:r>
          </w:p>
        </w:tc>
        <w:tc>
          <w:tcPr>
            <w:tcW w:w="1123" w:type="dxa"/>
            <w:tcBorders>
              <w:top w:val="nil"/>
              <w:left w:val="nil"/>
              <w:bottom w:val="single" w:sz="4" w:space="0" w:color="auto"/>
              <w:right w:val="single" w:sz="4" w:space="0" w:color="auto"/>
            </w:tcBorders>
            <w:shd w:val="clear" w:color="000000" w:fill="D9D9D9"/>
            <w:noWrap/>
            <w:vAlign w:val="bottom"/>
            <w:hideMark/>
          </w:tcPr>
          <w:p w14:paraId="5546923D" w14:textId="2D93A8A1"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0F651437" w14:textId="15B5838E"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33C54498" w14:textId="4FEF12ED" w:rsidR="00E626A7" w:rsidRPr="00E224F1" w:rsidRDefault="00E626A7" w:rsidP="00E626A7">
            <w:pPr>
              <w:spacing w:before="0" w:after="0"/>
              <w:jc w:val="right"/>
              <w:rPr>
                <w:rFonts w:cs="Arial"/>
                <w:sz w:val="20"/>
                <w:szCs w:val="20"/>
                <w:lang w:val="es-ES_tradnl" w:eastAsia="en-US"/>
              </w:rPr>
            </w:pPr>
            <w:r>
              <w:rPr>
                <w:rFonts w:cs="Arial"/>
                <w:sz w:val="20"/>
                <w:szCs w:val="20"/>
              </w:rPr>
              <w:t>0,750</w:t>
            </w:r>
          </w:p>
        </w:tc>
      </w:tr>
      <w:tr w:rsidR="00E626A7" w:rsidRPr="00E224F1" w14:paraId="5C266E2B"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2FD74A7" w14:textId="6A59DBA4"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Recepción y Conserjería</w:t>
            </w:r>
          </w:p>
        </w:tc>
        <w:tc>
          <w:tcPr>
            <w:tcW w:w="1123" w:type="dxa"/>
            <w:tcBorders>
              <w:top w:val="nil"/>
              <w:left w:val="nil"/>
              <w:bottom w:val="single" w:sz="4" w:space="0" w:color="auto"/>
              <w:right w:val="single" w:sz="4" w:space="0" w:color="auto"/>
            </w:tcBorders>
            <w:shd w:val="clear" w:color="000000" w:fill="D9D9D9"/>
            <w:noWrap/>
            <w:vAlign w:val="bottom"/>
            <w:hideMark/>
          </w:tcPr>
          <w:p w14:paraId="1070F7D9" w14:textId="5C671EA6" w:rsidR="00E626A7" w:rsidRPr="00E224F1" w:rsidRDefault="00E626A7" w:rsidP="00E626A7">
            <w:pPr>
              <w:spacing w:before="0" w:after="0"/>
              <w:jc w:val="center"/>
              <w:rPr>
                <w:rFonts w:cs="Arial"/>
                <w:sz w:val="16"/>
                <w:szCs w:val="16"/>
                <w:lang w:val="es-ES_tradnl" w:eastAsia="en-US"/>
              </w:rPr>
            </w:pPr>
            <w:r>
              <w:rPr>
                <w:rFonts w:cs="Arial"/>
                <w:sz w:val="20"/>
                <w:szCs w:val="20"/>
              </w:rPr>
              <w:t>1,820</w:t>
            </w:r>
          </w:p>
        </w:tc>
        <w:tc>
          <w:tcPr>
            <w:tcW w:w="907" w:type="dxa"/>
            <w:tcBorders>
              <w:top w:val="nil"/>
              <w:left w:val="nil"/>
              <w:bottom w:val="single" w:sz="4" w:space="0" w:color="auto"/>
              <w:right w:val="single" w:sz="4" w:space="0" w:color="auto"/>
            </w:tcBorders>
            <w:shd w:val="clear" w:color="000000" w:fill="D9D9D9"/>
            <w:noWrap/>
            <w:vAlign w:val="bottom"/>
            <w:hideMark/>
          </w:tcPr>
          <w:p w14:paraId="58E0F6C1" w14:textId="23A1A48B" w:rsidR="00E626A7" w:rsidRPr="00E224F1" w:rsidRDefault="00E626A7" w:rsidP="00E626A7">
            <w:pPr>
              <w:spacing w:before="0" w:after="0"/>
              <w:jc w:val="center"/>
              <w:rPr>
                <w:rFonts w:cs="Arial"/>
                <w:sz w:val="16"/>
                <w:szCs w:val="16"/>
                <w:lang w:val="es-ES_tradnl" w:eastAsia="en-US"/>
              </w:rPr>
            </w:pPr>
            <w:r>
              <w:rPr>
                <w:rFonts w:cs="Arial"/>
                <w:sz w:val="20"/>
                <w:szCs w:val="20"/>
              </w:rPr>
              <w:t>1,940</w:t>
            </w:r>
          </w:p>
        </w:tc>
        <w:tc>
          <w:tcPr>
            <w:tcW w:w="1123" w:type="dxa"/>
            <w:tcBorders>
              <w:top w:val="nil"/>
              <w:left w:val="nil"/>
              <w:bottom w:val="single" w:sz="4" w:space="0" w:color="auto"/>
              <w:right w:val="single" w:sz="4" w:space="0" w:color="auto"/>
            </w:tcBorders>
            <w:shd w:val="clear" w:color="000000" w:fill="D9D9D9"/>
            <w:noWrap/>
            <w:vAlign w:val="bottom"/>
            <w:hideMark/>
          </w:tcPr>
          <w:p w14:paraId="4967296C" w14:textId="1FBACADA" w:rsidR="00E626A7" w:rsidRPr="00E224F1" w:rsidRDefault="00E626A7" w:rsidP="00E626A7">
            <w:pPr>
              <w:spacing w:before="0" w:after="0"/>
              <w:jc w:val="center"/>
              <w:rPr>
                <w:rFonts w:cs="Arial"/>
                <w:sz w:val="16"/>
                <w:szCs w:val="16"/>
                <w:lang w:val="es-ES_tradnl" w:eastAsia="en-US"/>
              </w:rPr>
            </w:pPr>
            <w:r>
              <w:rPr>
                <w:rFonts w:cs="Arial"/>
                <w:sz w:val="20"/>
                <w:szCs w:val="20"/>
              </w:rPr>
              <w:t>0,250</w:t>
            </w:r>
          </w:p>
        </w:tc>
        <w:tc>
          <w:tcPr>
            <w:tcW w:w="907" w:type="dxa"/>
            <w:tcBorders>
              <w:top w:val="nil"/>
              <w:left w:val="nil"/>
              <w:bottom w:val="single" w:sz="4" w:space="0" w:color="auto"/>
              <w:right w:val="single" w:sz="4" w:space="0" w:color="auto"/>
            </w:tcBorders>
            <w:shd w:val="clear" w:color="000000" w:fill="D9D9D9"/>
            <w:noWrap/>
            <w:vAlign w:val="bottom"/>
            <w:hideMark/>
          </w:tcPr>
          <w:p w14:paraId="15ACEFE0" w14:textId="3E7A0B7C" w:rsidR="00E626A7" w:rsidRPr="00E224F1" w:rsidRDefault="00E626A7" w:rsidP="00E626A7">
            <w:pPr>
              <w:spacing w:before="0" w:after="0"/>
              <w:jc w:val="center"/>
              <w:rPr>
                <w:rFonts w:cs="Arial"/>
                <w:sz w:val="16"/>
                <w:szCs w:val="16"/>
                <w:lang w:val="es-ES_tradnl" w:eastAsia="en-US"/>
              </w:rPr>
            </w:pPr>
            <w:r>
              <w:rPr>
                <w:rFonts w:cs="Arial"/>
                <w:sz w:val="20"/>
                <w:szCs w:val="20"/>
              </w:rPr>
              <w:t>0,250</w:t>
            </w:r>
          </w:p>
        </w:tc>
        <w:tc>
          <w:tcPr>
            <w:tcW w:w="1030" w:type="dxa"/>
            <w:tcBorders>
              <w:top w:val="nil"/>
              <w:left w:val="nil"/>
              <w:bottom w:val="single" w:sz="4" w:space="0" w:color="auto"/>
              <w:right w:val="single" w:sz="4" w:space="0" w:color="auto"/>
            </w:tcBorders>
            <w:shd w:val="clear" w:color="auto" w:fill="auto"/>
            <w:noWrap/>
            <w:vAlign w:val="bottom"/>
            <w:hideMark/>
          </w:tcPr>
          <w:p w14:paraId="267B1D79" w14:textId="79C612D4" w:rsidR="00E626A7" w:rsidRPr="00E224F1" w:rsidRDefault="00E626A7" w:rsidP="00E626A7">
            <w:pPr>
              <w:spacing w:before="0" w:after="0"/>
              <w:jc w:val="right"/>
              <w:rPr>
                <w:rFonts w:cs="Arial"/>
                <w:sz w:val="20"/>
                <w:szCs w:val="20"/>
                <w:lang w:val="es-ES_tradnl" w:eastAsia="en-US"/>
              </w:rPr>
            </w:pPr>
            <w:r>
              <w:rPr>
                <w:rFonts w:cs="Arial"/>
                <w:sz w:val="20"/>
                <w:szCs w:val="20"/>
              </w:rPr>
              <w:t>4,260</w:t>
            </w:r>
          </w:p>
        </w:tc>
      </w:tr>
      <w:tr w:rsidR="00E626A7" w:rsidRPr="00E224F1" w14:paraId="5196075D"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495D3ED6" w14:textId="0A3DD1EF"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 xml:space="preserve">Servicio Técnico </w:t>
            </w:r>
          </w:p>
        </w:tc>
        <w:tc>
          <w:tcPr>
            <w:tcW w:w="1123" w:type="dxa"/>
            <w:tcBorders>
              <w:top w:val="nil"/>
              <w:left w:val="nil"/>
              <w:bottom w:val="single" w:sz="4" w:space="0" w:color="auto"/>
              <w:right w:val="single" w:sz="4" w:space="0" w:color="auto"/>
            </w:tcBorders>
            <w:shd w:val="clear" w:color="000000" w:fill="D9D9D9"/>
            <w:noWrap/>
            <w:vAlign w:val="bottom"/>
            <w:hideMark/>
          </w:tcPr>
          <w:p w14:paraId="19408211" w14:textId="635400E2" w:rsidR="00E626A7" w:rsidRPr="00E224F1" w:rsidRDefault="00E626A7" w:rsidP="00E626A7">
            <w:pPr>
              <w:spacing w:before="0" w:after="0"/>
              <w:jc w:val="center"/>
              <w:rPr>
                <w:rFonts w:cs="Arial"/>
                <w:sz w:val="16"/>
                <w:szCs w:val="16"/>
                <w:lang w:val="es-ES_tradnl" w:eastAsia="en-US"/>
              </w:rPr>
            </w:pPr>
            <w:r>
              <w:rPr>
                <w:rFonts w:cs="Arial"/>
                <w:sz w:val="20"/>
                <w:szCs w:val="20"/>
              </w:rPr>
              <w:t>3,000</w:t>
            </w:r>
          </w:p>
        </w:tc>
        <w:tc>
          <w:tcPr>
            <w:tcW w:w="907" w:type="dxa"/>
            <w:tcBorders>
              <w:top w:val="nil"/>
              <w:left w:val="nil"/>
              <w:bottom w:val="single" w:sz="4" w:space="0" w:color="auto"/>
              <w:right w:val="single" w:sz="4" w:space="0" w:color="auto"/>
            </w:tcBorders>
            <w:shd w:val="clear" w:color="000000" w:fill="D9D9D9"/>
            <w:noWrap/>
            <w:vAlign w:val="bottom"/>
            <w:hideMark/>
          </w:tcPr>
          <w:p w14:paraId="5ACA9659" w14:textId="70A84C46"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123" w:type="dxa"/>
            <w:tcBorders>
              <w:top w:val="nil"/>
              <w:left w:val="nil"/>
              <w:bottom w:val="single" w:sz="4" w:space="0" w:color="auto"/>
              <w:right w:val="single" w:sz="4" w:space="0" w:color="auto"/>
            </w:tcBorders>
            <w:shd w:val="clear" w:color="000000" w:fill="D9D9D9"/>
            <w:noWrap/>
            <w:vAlign w:val="bottom"/>
            <w:hideMark/>
          </w:tcPr>
          <w:p w14:paraId="28F6BBCF" w14:textId="54CC2C6E"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1C8FC81F" w14:textId="780A6B4D"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52FD1185" w14:textId="5B313157" w:rsidR="00E626A7" w:rsidRPr="00E224F1" w:rsidRDefault="00E626A7" w:rsidP="00E626A7">
            <w:pPr>
              <w:spacing w:before="0" w:after="0"/>
              <w:jc w:val="right"/>
              <w:rPr>
                <w:rFonts w:cs="Arial"/>
                <w:sz w:val="20"/>
                <w:szCs w:val="20"/>
                <w:lang w:val="es-ES_tradnl" w:eastAsia="en-US"/>
              </w:rPr>
            </w:pPr>
            <w:r>
              <w:rPr>
                <w:rFonts w:cs="Arial"/>
                <w:sz w:val="20"/>
                <w:szCs w:val="20"/>
              </w:rPr>
              <w:t>3,000</w:t>
            </w:r>
          </w:p>
        </w:tc>
      </w:tr>
      <w:tr w:rsidR="00E626A7" w:rsidRPr="00E224F1" w14:paraId="11121635"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3A551C8" w14:textId="67959A7A"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Pisos</w:t>
            </w:r>
          </w:p>
        </w:tc>
        <w:tc>
          <w:tcPr>
            <w:tcW w:w="1123" w:type="dxa"/>
            <w:tcBorders>
              <w:top w:val="nil"/>
              <w:left w:val="nil"/>
              <w:bottom w:val="single" w:sz="4" w:space="0" w:color="auto"/>
              <w:right w:val="single" w:sz="4" w:space="0" w:color="auto"/>
            </w:tcBorders>
            <w:shd w:val="clear" w:color="000000" w:fill="D9D9D9"/>
            <w:noWrap/>
            <w:vAlign w:val="bottom"/>
            <w:hideMark/>
          </w:tcPr>
          <w:p w14:paraId="783F14B5" w14:textId="47F7D513" w:rsidR="00E626A7" w:rsidRPr="00E224F1" w:rsidRDefault="00E626A7" w:rsidP="00E626A7">
            <w:pPr>
              <w:spacing w:before="0" w:after="0"/>
              <w:jc w:val="center"/>
              <w:rPr>
                <w:rFonts w:cs="Arial"/>
                <w:sz w:val="16"/>
                <w:szCs w:val="16"/>
                <w:lang w:val="es-ES_tradnl" w:eastAsia="en-US"/>
              </w:rPr>
            </w:pPr>
            <w:r>
              <w:rPr>
                <w:rFonts w:cs="Arial"/>
                <w:sz w:val="20"/>
                <w:szCs w:val="20"/>
              </w:rPr>
              <w:t>0,900</w:t>
            </w:r>
          </w:p>
        </w:tc>
        <w:tc>
          <w:tcPr>
            <w:tcW w:w="907" w:type="dxa"/>
            <w:tcBorders>
              <w:top w:val="nil"/>
              <w:left w:val="nil"/>
              <w:bottom w:val="single" w:sz="4" w:space="0" w:color="auto"/>
              <w:right w:val="single" w:sz="4" w:space="0" w:color="auto"/>
            </w:tcBorders>
            <w:shd w:val="clear" w:color="000000" w:fill="D9D9D9"/>
            <w:noWrap/>
            <w:vAlign w:val="bottom"/>
            <w:hideMark/>
          </w:tcPr>
          <w:p w14:paraId="270A66A8" w14:textId="279C2328" w:rsidR="00E626A7" w:rsidRPr="00E224F1" w:rsidRDefault="00E626A7" w:rsidP="00E626A7">
            <w:pPr>
              <w:spacing w:before="0" w:after="0"/>
              <w:jc w:val="center"/>
              <w:rPr>
                <w:rFonts w:cs="Arial"/>
                <w:sz w:val="16"/>
                <w:szCs w:val="16"/>
                <w:lang w:val="es-ES_tradnl" w:eastAsia="en-US"/>
              </w:rPr>
            </w:pPr>
            <w:r>
              <w:rPr>
                <w:rFonts w:cs="Arial"/>
                <w:sz w:val="20"/>
                <w:szCs w:val="20"/>
              </w:rPr>
              <w:t>2,500</w:t>
            </w:r>
          </w:p>
        </w:tc>
        <w:tc>
          <w:tcPr>
            <w:tcW w:w="1123" w:type="dxa"/>
            <w:tcBorders>
              <w:top w:val="nil"/>
              <w:left w:val="nil"/>
              <w:bottom w:val="single" w:sz="4" w:space="0" w:color="auto"/>
              <w:right w:val="single" w:sz="4" w:space="0" w:color="auto"/>
            </w:tcBorders>
            <w:shd w:val="clear" w:color="000000" w:fill="D9D9D9"/>
            <w:noWrap/>
            <w:vAlign w:val="bottom"/>
            <w:hideMark/>
          </w:tcPr>
          <w:p w14:paraId="5510FB18" w14:textId="3683C2F0" w:rsidR="00E626A7" w:rsidRPr="00E224F1" w:rsidRDefault="00E626A7" w:rsidP="00E626A7">
            <w:pPr>
              <w:spacing w:before="0" w:after="0"/>
              <w:jc w:val="center"/>
              <w:rPr>
                <w:rFonts w:cs="Arial"/>
                <w:sz w:val="16"/>
                <w:szCs w:val="16"/>
                <w:lang w:val="es-ES_tradnl" w:eastAsia="en-US"/>
              </w:rPr>
            </w:pPr>
            <w:r>
              <w:rPr>
                <w:rFonts w:cs="Arial"/>
                <w:sz w:val="20"/>
                <w:szCs w:val="20"/>
              </w:rPr>
              <w:t>0,750</w:t>
            </w:r>
          </w:p>
        </w:tc>
        <w:tc>
          <w:tcPr>
            <w:tcW w:w="907" w:type="dxa"/>
            <w:tcBorders>
              <w:top w:val="nil"/>
              <w:left w:val="nil"/>
              <w:bottom w:val="single" w:sz="4" w:space="0" w:color="auto"/>
              <w:right w:val="single" w:sz="4" w:space="0" w:color="auto"/>
            </w:tcBorders>
            <w:shd w:val="clear" w:color="000000" w:fill="D9D9D9"/>
            <w:noWrap/>
            <w:vAlign w:val="bottom"/>
            <w:hideMark/>
          </w:tcPr>
          <w:p w14:paraId="077DAD2D" w14:textId="0CA27B89" w:rsidR="00E626A7" w:rsidRPr="00E224F1" w:rsidRDefault="00E626A7" w:rsidP="00E626A7">
            <w:pPr>
              <w:spacing w:before="0" w:after="0"/>
              <w:jc w:val="center"/>
              <w:rPr>
                <w:rFonts w:cs="Arial"/>
                <w:sz w:val="16"/>
                <w:szCs w:val="16"/>
                <w:lang w:val="es-ES_tradnl" w:eastAsia="en-US"/>
              </w:rPr>
            </w:pPr>
            <w:r>
              <w:rPr>
                <w:rFonts w:cs="Arial"/>
                <w:sz w:val="20"/>
                <w:szCs w:val="20"/>
              </w:rPr>
              <w:t>2,031</w:t>
            </w:r>
          </w:p>
        </w:tc>
        <w:tc>
          <w:tcPr>
            <w:tcW w:w="1030" w:type="dxa"/>
            <w:tcBorders>
              <w:top w:val="nil"/>
              <w:left w:val="nil"/>
              <w:bottom w:val="single" w:sz="4" w:space="0" w:color="auto"/>
              <w:right w:val="single" w:sz="4" w:space="0" w:color="auto"/>
            </w:tcBorders>
            <w:shd w:val="clear" w:color="auto" w:fill="auto"/>
            <w:noWrap/>
            <w:vAlign w:val="bottom"/>
            <w:hideMark/>
          </w:tcPr>
          <w:p w14:paraId="7B694892" w14:textId="0DB61D3F" w:rsidR="00E626A7" w:rsidRPr="00E224F1" w:rsidRDefault="00E626A7" w:rsidP="00E626A7">
            <w:pPr>
              <w:spacing w:before="0" w:after="0"/>
              <w:jc w:val="right"/>
              <w:rPr>
                <w:rFonts w:cs="Arial"/>
                <w:sz w:val="20"/>
                <w:szCs w:val="20"/>
                <w:lang w:val="es-ES_tradnl" w:eastAsia="en-US"/>
              </w:rPr>
            </w:pPr>
            <w:r>
              <w:rPr>
                <w:rFonts w:cs="Arial"/>
                <w:sz w:val="20"/>
                <w:szCs w:val="20"/>
              </w:rPr>
              <w:t>6,181</w:t>
            </w:r>
          </w:p>
        </w:tc>
      </w:tr>
      <w:tr w:rsidR="00E626A7" w:rsidRPr="00E224F1" w14:paraId="251E9BEE"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7DEAAAD2" w14:textId="7E836E94"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Restaurante</w:t>
            </w:r>
          </w:p>
        </w:tc>
        <w:tc>
          <w:tcPr>
            <w:tcW w:w="1123" w:type="dxa"/>
            <w:tcBorders>
              <w:top w:val="nil"/>
              <w:left w:val="nil"/>
              <w:bottom w:val="single" w:sz="4" w:space="0" w:color="auto"/>
              <w:right w:val="single" w:sz="4" w:space="0" w:color="auto"/>
            </w:tcBorders>
            <w:shd w:val="clear" w:color="000000" w:fill="D9D9D9"/>
            <w:noWrap/>
            <w:vAlign w:val="bottom"/>
            <w:hideMark/>
          </w:tcPr>
          <w:p w14:paraId="2EA823A4" w14:textId="17CC4479" w:rsidR="00E626A7" w:rsidRPr="00E224F1" w:rsidRDefault="00E626A7" w:rsidP="00E626A7">
            <w:pPr>
              <w:spacing w:before="0" w:after="0"/>
              <w:jc w:val="center"/>
              <w:rPr>
                <w:rFonts w:cs="Arial"/>
                <w:sz w:val="16"/>
                <w:szCs w:val="16"/>
                <w:lang w:val="es-ES_tradnl" w:eastAsia="en-US"/>
              </w:rPr>
            </w:pPr>
            <w:r>
              <w:rPr>
                <w:rFonts w:cs="Arial"/>
                <w:sz w:val="20"/>
                <w:szCs w:val="20"/>
              </w:rPr>
              <w:t>3,820</w:t>
            </w:r>
          </w:p>
        </w:tc>
        <w:tc>
          <w:tcPr>
            <w:tcW w:w="907" w:type="dxa"/>
            <w:tcBorders>
              <w:top w:val="nil"/>
              <w:left w:val="nil"/>
              <w:bottom w:val="single" w:sz="4" w:space="0" w:color="auto"/>
              <w:right w:val="single" w:sz="4" w:space="0" w:color="auto"/>
            </w:tcBorders>
            <w:shd w:val="clear" w:color="000000" w:fill="D9D9D9"/>
            <w:noWrap/>
            <w:vAlign w:val="bottom"/>
            <w:hideMark/>
          </w:tcPr>
          <w:p w14:paraId="036C0D0B" w14:textId="46B188E3" w:rsidR="00E626A7" w:rsidRPr="00E224F1" w:rsidRDefault="00E626A7" w:rsidP="00E626A7">
            <w:pPr>
              <w:spacing w:before="0" w:after="0"/>
              <w:jc w:val="center"/>
              <w:rPr>
                <w:rFonts w:cs="Arial"/>
                <w:sz w:val="16"/>
                <w:szCs w:val="16"/>
                <w:lang w:val="es-ES_tradnl" w:eastAsia="en-US"/>
              </w:rPr>
            </w:pPr>
            <w:r>
              <w:rPr>
                <w:rFonts w:cs="Arial"/>
                <w:sz w:val="20"/>
                <w:szCs w:val="20"/>
              </w:rPr>
              <w:t>1,870</w:t>
            </w:r>
          </w:p>
        </w:tc>
        <w:tc>
          <w:tcPr>
            <w:tcW w:w="1123" w:type="dxa"/>
            <w:tcBorders>
              <w:top w:val="nil"/>
              <w:left w:val="nil"/>
              <w:bottom w:val="single" w:sz="4" w:space="0" w:color="auto"/>
              <w:right w:val="single" w:sz="4" w:space="0" w:color="auto"/>
            </w:tcBorders>
            <w:shd w:val="clear" w:color="000000" w:fill="D9D9D9"/>
            <w:noWrap/>
            <w:vAlign w:val="bottom"/>
            <w:hideMark/>
          </w:tcPr>
          <w:p w14:paraId="633D16E4" w14:textId="7B072E32" w:rsidR="00E626A7" w:rsidRPr="00E224F1" w:rsidRDefault="00E626A7" w:rsidP="00E626A7">
            <w:pPr>
              <w:spacing w:before="0" w:after="0"/>
              <w:jc w:val="center"/>
              <w:rPr>
                <w:rFonts w:cs="Arial"/>
                <w:sz w:val="16"/>
                <w:szCs w:val="16"/>
                <w:lang w:val="es-ES_tradnl" w:eastAsia="en-US"/>
              </w:rPr>
            </w:pPr>
            <w:r>
              <w:rPr>
                <w:rFonts w:cs="Arial"/>
                <w:sz w:val="20"/>
                <w:szCs w:val="20"/>
              </w:rPr>
              <w:t>1,560</w:t>
            </w:r>
          </w:p>
        </w:tc>
        <w:tc>
          <w:tcPr>
            <w:tcW w:w="907" w:type="dxa"/>
            <w:tcBorders>
              <w:top w:val="nil"/>
              <w:left w:val="nil"/>
              <w:bottom w:val="single" w:sz="4" w:space="0" w:color="auto"/>
              <w:right w:val="single" w:sz="4" w:space="0" w:color="auto"/>
            </w:tcBorders>
            <w:shd w:val="clear" w:color="000000" w:fill="D9D9D9"/>
            <w:noWrap/>
            <w:vAlign w:val="bottom"/>
            <w:hideMark/>
          </w:tcPr>
          <w:p w14:paraId="39A41600" w14:textId="30E2EE0A" w:rsidR="00E626A7" w:rsidRPr="00E224F1" w:rsidRDefault="00E626A7" w:rsidP="00E626A7">
            <w:pPr>
              <w:spacing w:before="0" w:after="0"/>
              <w:jc w:val="center"/>
              <w:rPr>
                <w:rFonts w:cs="Arial"/>
                <w:sz w:val="16"/>
                <w:szCs w:val="16"/>
                <w:lang w:val="es-ES_tradnl" w:eastAsia="en-US"/>
              </w:rPr>
            </w:pPr>
            <w:r>
              <w:rPr>
                <w:rFonts w:cs="Arial"/>
                <w:sz w:val="20"/>
                <w:szCs w:val="20"/>
              </w:rPr>
              <w:t>1,390</w:t>
            </w:r>
          </w:p>
        </w:tc>
        <w:tc>
          <w:tcPr>
            <w:tcW w:w="1030" w:type="dxa"/>
            <w:tcBorders>
              <w:top w:val="nil"/>
              <w:left w:val="nil"/>
              <w:bottom w:val="single" w:sz="4" w:space="0" w:color="auto"/>
              <w:right w:val="single" w:sz="4" w:space="0" w:color="auto"/>
            </w:tcBorders>
            <w:shd w:val="clear" w:color="auto" w:fill="auto"/>
            <w:noWrap/>
            <w:vAlign w:val="bottom"/>
            <w:hideMark/>
          </w:tcPr>
          <w:p w14:paraId="66ECCA6D" w14:textId="0BB965CD" w:rsidR="00E626A7" w:rsidRPr="00E224F1" w:rsidRDefault="00E626A7" w:rsidP="00E626A7">
            <w:pPr>
              <w:spacing w:before="0" w:after="0"/>
              <w:jc w:val="right"/>
              <w:rPr>
                <w:rFonts w:cs="Arial"/>
                <w:sz w:val="20"/>
                <w:szCs w:val="20"/>
                <w:lang w:val="es-ES_tradnl" w:eastAsia="en-US"/>
              </w:rPr>
            </w:pPr>
            <w:r>
              <w:rPr>
                <w:rFonts w:cs="Arial"/>
                <w:sz w:val="20"/>
                <w:szCs w:val="20"/>
              </w:rPr>
              <w:t>8,640</w:t>
            </w:r>
          </w:p>
        </w:tc>
      </w:tr>
      <w:tr w:rsidR="00E626A7" w:rsidRPr="00E224F1" w14:paraId="08E63CD5"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2250B541" w14:textId="3E51AFE7"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Cocina</w:t>
            </w:r>
          </w:p>
        </w:tc>
        <w:tc>
          <w:tcPr>
            <w:tcW w:w="1123" w:type="dxa"/>
            <w:tcBorders>
              <w:top w:val="nil"/>
              <w:left w:val="nil"/>
              <w:bottom w:val="single" w:sz="4" w:space="0" w:color="auto"/>
              <w:right w:val="single" w:sz="4" w:space="0" w:color="auto"/>
            </w:tcBorders>
            <w:shd w:val="clear" w:color="000000" w:fill="D9D9D9"/>
            <w:noWrap/>
            <w:vAlign w:val="bottom"/>
            <w:hideMark/>
          </w:tcPr>
          <w:p w14:paraId="0D465682" w14:textId="5A455018" w:rsidR="00E626A7" w:rsidRPr="00E224F1" w:rsidRDefault="00E626A7" w:rsidP="00E626A7">
            <w:pPr>
              <w:spacing w:before="0" w:after="0"/>
              <w:jc w:val="center"/>
              <w:rPr>
                <w:rFonts w:cs="Arial"/>
                <w:sz w:val="16"/>
                <w:szCs w:val="16"/>
                <w:lang w:val="es-ES_tradnl" w:eastAsia="en-US"/>
              </w:rPr>
            </w:pPr>
            <w:r>
              <w:rPr>
                <w:rFonts w:cs="Arial"/>
                <w:sz w:val="20"/>
                <w:szCs w:val="20"/>
              </w:rPr>
              <w:t>3,620</w:t>
            </w:r>
          </w:p>
        </w:tc>
        <w:tc>
          <w:tcPr>
            <w:tcW w:w="907" w:type="dxa"/>
            <w:tcBorders>
              <w:top w:val="nil"/>
              <w:left w:val="nil"/>
              <w:bottom w:val="single" w:sz="4" w:space="0" w:color="auto"/>
              <w:right w:val="single" w:sz="4" w:space="0" w:color="auto"/>
            </w:tcBorders>
            <w:shd w:val="clear" w:color="000000" w:fill="D9D9D9"/>
            <w:noWrap/>
            <w:vAlign w:val="bottom"/>
            <w:hideMark/>
          </w:tcPr>
          <w:p w14:paraId="5E716F2C" w14:textId="21DBE793" w:rsidR="00E626A7" w:rsidRPr="00E224F1" w:rsidRDefault="00E626A7" w:rsidP="00E626A7">
            <w:pPr>
              <w:spacing w:before="0" w:after="0"/>
              <w:jc w:val="center"/>
              <w:rPr>
                <w:rFonts w:cs="Arial"/>
                <w:sz w:val="16"/>
                <w:szCs w:val="16"/>
                <w:lang w:val="es-ES_tradnl" w:eastAsia="en-US"/>
              </w:rPr>
            </w:pPr>
            <w:r>
              <w:rPr>
                <w:rFonts w:cs="Arial"/>
                <w:sz w:val="20"/>
                <w:szCs w:val="20"/>
              </w:rPr>
              <w:t>1,514</w:t>
            </w:r>
          </w:p>
        </w:tc>
        <w:tc>
          <w:tcPr>
            <w:tcW w:w="1123" w:type="dxa"/>
            <w:tcBorders>
              <w:top w:val="nil"/>
              <w:left w:val="nil"/>
              <w:bottom w:val="single" w:sz="4" w:space="0" w:color="auto"/>
              <w:right w:val="single" w:sz="4" w:space="0" w:color="auto"/>
            </w:tcBorders>
            <w:shd w:val="clear" w:color="000000" w:fill="D9D9D9"/>
            <w:noWrap/>
            <w:vAlign w:val="bottom"/>
            <w:hideMark/>
          </w:tcPr>
          <w:p w14:paraId="40C2E2CC" w14:textId="68FFBEDD" w:rsidR="00E626A7" w:rsidRPr="00E224F1" w:rsidRDefault="00E626A7" w:rsidP="00E626A7">
            <w:pPr>
              <w:spacing w:before="0" w:after="0"/>
              <w:jc w:val="center"/>
              <w:rPr>
                <w:rFonts w:cs="Arial"/>
                <w:sz w:val="16"/>
                <w:szCs w:val="16"/>
                <w:lang w:val="es-ES_tradnl" w:eastAsia="en-US"/>
              </w:rPr>
            </w:pPr>
            <w:r>
              <w:rPr>
                <w:rFonts w:cs="Arial"/>
                <w:sz w:val="20"/>
                <w:szCs w:val="20"/>
              </w:rPr>
              <w:t>1,340</w:t>
            </w:r>
          </w:p>
        </w:tc>
        <w:tc>
          <w:tcPr>
            <w:tcW w:w="907" w:type="dxa"/>
            <w:tcBorders>
              <w:top w:val="nil"/>
              <w:left w:val="nil"/>
              <w:bottom w:val="single" w:sz="4" w:space="0" w:color="auto"/>
              <w:right w:val="single" w:sz="4" w:space="0" w:color="auto"/>
            </w:tcBorders>
            <w:shd w:val="clear" w:color="000000" w:fill="D9D9D9"/>
            <w:noWrap/>
            <w:vAlign w:val="bottom"/>
            <w:hideMark/>
          </w:tcPr>
          <w:p w14:paraId="0F837099" w14:textId="5044FC2F" w:rsidR="00E626A7" w:rsidRPr="00E224F1" w:rsidRDefault="00E626A7" w:rsidP="00E626A7">
            <w:pPr>
              <w:spacing w:before="0" w:after="0"/>
              <w:jc w:val="center"/>
              <w:rPr>
                <w:rFonts w:cs="Arial"/>
                <w:sz w:val="16"/>
                <w:szCs w:val="16"/>
                <w:lang w:val="es-ES_tradnl" w:eastAsia="en-US"/>
              </w:rPr>
            </w:pPr>
            <w:r>
              <w:rPr>
                <w:rFonts w:cs="Arial"/>
                <w:sz w:val="20"/>
                <w:szCs w:val="20"/>
              </w:rPr>
              <w:t>1,036</w:t>
            </w:r>
          </w:p>
        </w:tc>
        <w:tc>
          <w:tcPr>
            <w:tcW w:w="1030" w:type="dxa"/>
            <w:tcBorders>
              <w:top w:val="nil"/>
              <w:left w:val="nil"/>
              <w:bottom w:val="single" w:sz="4" w:space="0" w:color="auto"/>
              <w:right w:val="single" w:sz="4" w:space="0" w:color="auto"/>
            </w:tcBorders>
            <w:shd w:val="clear" w:color="auto" w:fill="auto"/>
            <w:noWrap/>
            <w:vAlign w:val="bottom"/>
            <w:hideMark/>
          </w:tcPr>
          <w:p w14:paraId="408351CF" w14:textId="5DED6D60" w:rsidR="00E626A7" w:rsidRPr="00E224F1" w:rsidRDefault="00E626A7" w:rsidP="00E626A7">
            <w:pPr>
              <w:spacing w:before="0" w:after="0"/>
              <w:jc w:val="right"/>
              <w:rPr>
                <w:rFonts w:cs="Arial"/>
                <w:sz w:val="20"/>
                <w:szCs w:val="20"/>
                <w:lang w:val="es-ES_tradnl" w:eastAsia="en-US"/>
              </w:rPr>
            </w:pPr>
            <w:r>
              <w:rPr>
                <w:rFonts w:cs="Arial"/>
                <w:sz w:val="20"/>
                <w:szCs w:val="20"/>
              </w:rPr>
              <w:t>7,510</w:t>
            </w:r>
          </w:p>
        </w:tc>
      </w:tr>
      <w:tr w:rsidR="00E626A7" w:rsidRPr="00E224F1" w14:paraId="3FDD60D6" w14:textId="77777777" w:rsidTr="00E224F1">
        <w:trPr>
          <w:trHeight w:val="270"/>
        </w:trPr>
        <w:tc>
          <w:tcPr>
            <w:tcW w:w="3326" w:type="dxa"/>
            <w:tcBorders>
              <w:top w:val="nil"/>
              <w:left w:val="single" w:sz="4" w:space="0" w:color="auto"/>
              <w:bottom w:val="single" w:sz="4" w:space="0" w:color="auto"/>
              <w:right w:val="single" w:sz="4" w:space="0" w:color="auto"/>
            </w:tcBorders>
            <w:shd w:val="clear" w:color="auto" w:fill="auto"/>
            <w:noWrap/>
            <w:vAlign w:val="bottom"/>
            <w:hideMark/>
          </w:tcPr>
          <w:p w14:paraId="03B86790" w14:textId="5BF46C7F"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 xml:space="preserve">Finca </w:t>
            </w:r>
            <w:proofErr w:type="spellStart"/>
            <w:r w:rsidRPr="00E224F1">
              <w:rPr>
                <w:rFonts w:cs="Arial"/>
                <w:sz w:val="20"/>
                <w:szCs w:val="20"/>
                <w:lang w:val="es-ES_tradnl" w:eastAsia="en-US"/>
              </w:rPr>
              <w:t>Valleguerra</w:t>
            </w:r>
            <w:proofErr w:type="spellEnd"/>
          </w:p>
        </w:tc>
        <w:tc>
          <w:tcPr>
            <w:tcW w:w="1123" w:type="dxa"/>
            <w:tcBorders>
              <w:top w:val="nil"/>
              <w:left w:val="nil"/>
              <w:bottom w:val="single" w:sz="4" w:space="0" w:color="auto"/>
              <w:right w:val="single" w:sz="4" w:space="0" w:color="auto"/>
            </w:tcBorders>
            <w:shd w:val="clear" w:color="000000" w:fill="D9D9D9"/>
            <w:noWrap/>
            <w:vAlign w:val="bottom"/>
            <w:hideMark/>
          </w:tcPr>
          <w:p w14:paraId="5469AAEB" w14:textId="5E3423F2" w:rsidR="00E626A7" w:rsidRPr="00E224F1" w:rsidRDefault="00E626A7" w:rsidP="00E626A7">
            <w:pPr>
              <w:spacing w:before="0" w:after="0"/>
              <w:jc w:val="center"/>
              <w:rPr>
                <w:rFonts w:cs="Arial"/>
                <w:sz w:val="16"/>
                <w:szCs w:val="16"/>
                <w:lang w:val="es-ES_tradnl" w:eastAsia="en-US"/>
              </w:rPr>
            </w:pPr>
            <w:r>
              <w:rPr>
                <w:rFonts w:cs="Arial"/>
                <w:sz w:val="20"/>
                <w:szCs w:val="20"/>
              </w:rPr>
              <w:t>2,000</w:t>
            </w:r>
          </w:p>
        </w:tc>
        <w:tc>
          <w:tcPr>
            <w:tcW w:w="907" w:type="dxa"/>
            <w:tcBorders>
              <w:top w:val="nil"/>
              <w:left w:val="nil"/>
              <w:bottom w:val="single" w:sz="4" w:space="0" w:color="auto"/>
              <w:right w:val="single" w:sz="4" w:space="0" w:color="auto"/>
            </w:tcBorders>
            <w:shd w:val="clear" w:color="000000" w:fill="D9D9D9"/>
            <w:noWrap/>
            <w:vAlign w:val="bottom"/>
            <w:hideMark/>
          </w:tcPr>
          <w:p w14:paraId="74CEEEA2" w14:textId="5BE715D0"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123" w:type="dxa"/>
            <w:tcBorders>
              <w:top w:val="nil"/>
              <w:left w:val="nil"/>
              <w:bottom w:val="single" w:sz="4" w:space="0" w:color="auto"/>
              <w:right w:val="single" w:sz="4" w:space="0" w:color="auto"/>
            </w:tcBorders>
            <w:shd w:val="clear" w:color="000000" w:fill="D9D9D9"/>
            <w:noWrap/>
            <w:vAlign w:val="bottom"/>
            <w:hideMark/>
          </w:tcPr>
          <w:p w14:paraId="41A5A0F5" w14:textId="7374B04F" w:rsidR="00E626A7" w:rsidRPr="00E224F1" w:rsidRDefault="00E626A7" w:rsidP="00E626A7">
            <w:pPr>
              <w:spacing w:before="0" w:after="0"/>
              <w:jc w:val="center"/>
              <w:rPr>
                <w:rFonts w:cs="Arial"/>
                <w:sz w:val="16"/>
                <w:szCs w:val="16"/>
                <w:lang w:val="es-ES_tradnl" w:eastAsia="en-US"/>
              </w:rPr>
            </w:pPr>
            <w:r>
              <w:rPr>
                <w:rFonts w:cs="Arial"/>
                <w:sz w:val="20"/>
                <w:szCs w:val="20"/>
              </w:rPr>
              <w:t>1,000</w:t>
            </w:r>
          </w:p>
        </w:tc>
        <w:tc>
          <w:tcPr>
            <w:tcW w:w="907" w:type="dxa"/>
            <w:tcBorders>
              <w:top w:val="nil"/>
              <w:left w:val="nil"/>
              <w:bottom w:val="single" w:sz="4" w:space="0" w:color="auto"/>
              <w:right w:val="single" w:sz="4" w:space="0" w:color="auto"/>
            </w:tcBorders>
            <w:shd w:val="clear" w:color="000000" w:fill="D9D9D9"/>
            <w:noWrap/>
            <w:vAlign w:val="bottom"/>
            <w:hideMark/>
          </w:tcPr>
          <w:p w14:paraId="0A1CA442" w14:textId="3C3483F2"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07D635DF" w14:textId="0D1043FD" w:rsidR="00E626A7" w:rsidRPr="00E224F1" w:rsidRDefault="00E626A7" w:rsidP="00E626A7">
            <w:pPr>
              <w:spacing w:before="0" w:after="0"/>
              <w:jc w:val="right"/>
              <w:rPr>
                <w:rFonts w:cs="Arial"/>
                <w:sz w:val="20"/>
                <w:szCs w:val="20"/>
                <w:lang w:val="es-ES_tradnl" w:eastAsia="en-US"/>
              </w:rPr>
            </w:pPr>
            <w:r>
              <w:rPr>
                <w:rFonts w:cs="Arial"/>
                <w:sz w:val="20"/>
                <w:szCs w:val="20"/>
              </w:rPr>
              <w:t>3,000</w:t>
            </w:r>
          </w:p>
        </w:tc>
      </w:tr>
      <w:tr w:rsidR="00E626A7" w:rsidRPr="00E224F1" w14:paraId="722ABE46" w14:textId="77777777" w:rsidTr="00E224F1">
        <w:trPr>
          <w:trHeight w:val="270"/>
        </w:trPr>
        <w:tc>
          <w:tcPr>
            <w:tcW w:w="3326" w:type="dxa"/>
            <w:tcBorders>
              <w:top w:val="nil"/>
              <w:left w:val="single" w:sz="4" w:space="0" w:color="auto"/>
              <w:bottom w:val="nil"/>
              <w:right w:val="single" w:sz="4" w:space="0" w:color="auto"/>
            </w:tcBorders>
            <w:shd w:val="clear" w:color="auto" w:fill="auto"/>
            <w:noWrap/>
            <w:vAlign w:val="bottom"/>
            <w:hideMark/>
          </w:tcPr>
          <w:p w14:paraId="2AD8CDC1" w14:textId="55F363BF"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 xml:space="preserve">Oficial de primera </w:t>
            </w:r>
          </w:p>
        </w:tc>
        <w:tc>
          <w:tcPr>
            <w:tcW w:w="1123" w:type="dxa"/>
            <w:tcBorders>
              <w:top w:val="nil"/>
              <w:left w:val="nil"/>
              <w:bottom w:val="single" w:sz="4" w:space="0" w:color="auto"/>
              <w:right w:val="single" w:sz="4" w:space="0" w:color="auto"/>
            </w:tcBorders>
            <w:shd w:val="clear" w:color="000000" w:fill="D9D9D9"/>
            <w:noWrap/>
            <w:vAlign w:val="bottom"/>
            <w:hideMark/>
          </w:tcPr>
          <w:p w14:paraId="5A5A410D" w14:textId="3EF737EC" w:rsidR="00E626A7" w:rsidRPr="00E224F1" w:rsidRDefault="00E626A7" w:rsidP="00E626A7">
            <w:pPr>
              <w:spacing w:before="0" w:after="0"/>
              <w:jc w:val="center"/>
              <w:rPr>
                <w:rFonts w:cs="Arial"/>
                <w:sz w:val="16"/>
                <w:szCs w:val="16"/>
                <w:lang w:val="es-ES_tradnl" w:eastAsia="en-US"/>
              </w:rPr>
            </w:pPr>
            <w:r>
              <w:rPr>
                <w:rFonts w:cs="Arial"/>
                <w:sz w:val="20"/>
                <w:szCs w:val="20"/>
              </w:rPr>
              <w:t>1,000</w:t>
            </w:r>
          </w:p>
        </w:tc>
        <w:tc>
          <w:tcPr>
            <w:tcW w:w="907" w:type="dxa"/>
            <w:tcBorders>
              <w:top w:val="nil"/>
              <w:left w:val="nil"/>
              <w:bottom w:val="single" w:sz="4" w:space="0" w:color="auto"/>
              <w:right w:val="single" w:sz="4" w:space="0" w:color="auto"/>
            </w:tcBorders>
            <w:shd w:val="clear" w:color="000000" w:fill="D9D9D9"/>
            <w:noWrap/>
            <w:vAlign w:val="bottom"/>
            <w:hideMark/>
          </w:tcPr>
          <w:p w14:paraId="537E64B1" w14:textId="21A29646"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123" w:type="dxa"/>
            <w:tcBorders>
              <w:top w:val="nil"/>
              <w:left w:val="nil"/>
              <w:bottom w:val="single" w:sz="4" w:space="0" w:color="auto"/>
              <w:right w:val="single" w:sz="4" w:space="0" w:color="auto"/>
            </w:tcBorders>
            <w:shd w:val="clear" w:color="000000" w:fill="D9D9D9"/>
            <w:noWrap/>
            <w:vAlign w:val="bottom"/>
            <w:hideMark/>
          </w:tcPr>
          <w:p w14:paraId="32E9B364" w14:textId="412A148C"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4A93DC0B" w14:textId="201C7AB4"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256D6E3C" w14:textId="23C8E00E" w:rsidR="00E626A7" w:rsidRPr="00E224F1" w:rsidRDefault="00E626A7" w:rsidP="00E626A7">
            <w:pPr>
              <w:spacing w:before="0" w:after="0"/>
              <w:jc w:val="right"/>
              <w:rPr>
                <w:rFonts w:cs="Arial"/>
                <w:sz w:val="20"/>
                <w:szCs w:val="20"/>
                <w:lang w:val="es-ES_tradnl" w:eastAsia="en-US"/>
              </w:rPr>
            </w:pPr>
            <w:r>
              <w:rPr>
                <w:rFonts w:cs="Arial"/>
                <w:sz w:val="20"/>
                <w:szCs w:val="20"/>
              </w:rPr>
              <w:t>1,000</w:t>
            </w:r>
          </w:p>
        </w:tc>
      </w:tr>
      <w:tr w:rsidR="00E626A7" w:rsidRPr="00E224F1" w14:paraId="0CE4D9B1" w14:textId="77777777" w:rsidTr="00E224F1">
        <w:trPr>
          <w:trHeight w:val="270"/>
        </w:trPr>
        <w:tc>
          <w:tcPr>
            <w:tcW w:w="3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27265" w14:textId="19900880" w:rsidR="00E626A7" w:rsidRPr="00E224F1" w:rsidRDefault="00E626A7" w:rsidP="00E626A7">
            <w:pPr>
              <w:spacing w:before="0" w:after="0"/>
              <w:rPr>
                <w:rFonts w:cs="Arial"/>
                <w:sz w:val="20"/>
                <w:szCs w:val="20"/>
                <w:lang w:val="es-ES_tradnl" w:eastAsia="en-US"/>
              </w:rPr>
            </w:pPr>
            <w:r w:rsidRPr="00E224F1">
              <w:rPr>
                <w:rFonts w:cs="Arial"/>
                <w:sz w:val="20"/>
                <w:szCs w:val="20"/>
                <w:lang w:val="es-ES_tradnl" w:eastAsia="en-US"/>
              </w:rPr>
              <w:t xml:space="preserve">Músicos </w:t>
            </w:r>
          </w:p>
        </w:tc>
        <w:tc>
          <w:tcPr>
            <w:tcW w:w="1123" w:type="dxa"/>
            <w:tcBorders>
              <w:top w:val="nil"/>
              <w:left w:val="nil"/>
              <w:bottom w:val="single" w:sz="4" w:space="0" w:color="auto"/>
              <w:right w:val="single" w:sz="4" w:space="0" w:color="auto"/>
            </w:tcBorders>
            <w:shd w:val="clear" w:color="000000" w:fill="D9D9D9"/>
            <w:noWrap/>
            <w:vAlign w:val="bottom"/>
            <w:hideMark/>
          </w:tcPr>
          <w:p w14:paraId="607B8D57" w14:textId="2D3AA46D"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7EEA3E29" w14:textId="73017AAB"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123" w:type="dxa"/>
            <w:tcBorders>
              <w:top w:val="nil"/>
              <w:left w:val="nil"/>
              <w:bottom w:val="single" w:sz="4" w:space="0" w:color="auto"/>
              <w:right w:val="single" w:sz="4" w:space="0" w:color="auto"/>
            </w:tcBorders>
            <w:shd w:val="clear" w:color="000000" w:fill="D9D9D9"/>
            <w:noWrap/>
            <w:vAlign w:val="bottom"/>
            <w:hideMark/>
          </w:tcPr>
          <w:p w14:paraId="7B5F98E3" w14:textId="1B83FE44"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907" w:type="dxa"/>
            <w:tcBorders>
              <w:top w:val="nil"/>
              <w:left w:val="nil"/>
              <w:bottom w:val="single" w:sz="4" w:space="0" w:color="auto"/>
              <w:right w:val="single" w:sz="4" w:space="0" w:color="auto"/>
            </w:tcBorders>
            <w:shd w:val="clear" w:color="000000" w:fill="D9D9D9"/>
            <w:noWrap/>
            <w:vAlign w:val="bottom"/>
            <w:hideMark/>
          </w:tcPr>
          <w:p w14:paraId="1D792F2F" w14:textId="69D4BC51" w:rsidR="00E626A7" w:rsidRPr="00E224F1" w:rsidRDefault="00E626A7" w:rsidP="00E626A7">
            <w:pPr>
              <w:spacing w:before="0" w:after="0"/>
              <w:jc w:val="center"/>
              <w:rPr>
                <w:rFonts w:cs="Arial"/>
                <w:sz w:val="16"/>
                <w:szCs w:val="16"/>
                <w:lang w:val="es-ES_tradnl" w:eastAsia="en-US"/>
              </w:rPr>
            </w:pPr>
            <w:r>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hideMark/>
          </w:tcPr>
          <w:p w14:paraId="4D13D525" w14:textId="1771FA80" w:rsidR="00E626A7" w:rsidRPr="00E224F1" w:rsidRDefault="00E626A7" w:rsidP="00E626A7">
            <w:pPr>
              <w:spacing w:before="0" w:after="0"/>
              <w:jc w:val="right"/>
              <w:rPr>
                <w:rFonts w:cs="Arial"/>
                <w:sz w:val="20"/>
                <w:szCs w:val="20"/>
                <w:lang w:val="es-ES_tradnl" w:eastAsia="en-US"/>
              </w:rPr>
            </w:pPr>
            <w:r>
              <w:rPr>
                <w:rFonts w:cs="Arial"/>
                <w:sz w:val="20"/>
                <w:szCs w:val="20"/>
              </w:rPr>
              <w:t>0,000</w:t>
            </w:r>
          </w:p>
        </w:tc>
      </w:tr>
      <w:tr w:rsidR="00E626A7" w:rsidRPr="00E224F1" w14:paraId="7B4D702D" w14:textId="77777777" w:rsidTr="00E224F1">
        <w:trPr>
          <w:trHeight w:val="270"/>
        </w:trPr>
        <w:tc>
          <w:tcPr>
            <w:tcW w:w="3326" w:type="dxa"/>
            <w:tcBorders>
              <w:top w:val="nil"/>
              <w:left w:val="single" w:sz="8" w:space="0" w:color="auto"/>
              <w:bottom w:val="single" w:sz="8" w:space="0" w:color="auto"/>
              <w:right w:val="nil"/>
            </w:tcBorders>
            <w:shd w:val="clear" w:color="auto" w:fill="auto"/>
            <w:noWrap/>
            <w:vAlign w:val="bottom"/>
            <w:hideMark/>
          </w:tcPr>
          <w:p w14:paraId="42800855" w14:textId="45A96B40" w:rsidR="00E626A7" w:rsidRPr="00E224F1" w:rsidRDefault="00E626A7" w:rsidP="00E626A7">
            <w:pPr>
              <w:spacing w:before="0" w:after="0"/>
              <w:rPr>
                <w:rFonts w:cs="Arial"/>
                <w:b/>
                <w:bCs/>
                <w:sz w:val="20"/>
                <w:szCs w:val="20"/>
                <w:lang w:val="es-ES_tradnl" w:eastAsia="en-US"/>
              </w:rPr>
            </w:pPr>
            <w:r w:rsidRPr="00E224F1">
              <w:rPr>
                <w:rFonts w:cs="Arial"/>
                <w:b/>
                <w:bCs/>
                <w:sz w:val="20"/>
                <w:szCs w:val="20"/>
                <w:lang w:val="es-ES_tradnl" w:eastAsia="en-US"/>
              </w:rPr>
              <w:t>TOTAL</w:t>
            </w:r>
          </w:p>
        </w:tc>
        <w:tc>
          <w:tcPr>
            <w:tcW w:w="1123" w:type="dxa"/>
            <w:tcBorders>
              <w:top w:val="nil"/>
              <w:left w:val="single" w:sz="4" w:space="0" w:color="auto"/>
              <w:bottom w:val="single" w:sz="8" w:space="0" w:color="auto"/>
              <w:right w:val="single" w:sz="4" w:space="0" w:color="auto"/>
            </w:tcBorders>
            <w:shd w:val="clear" w:color="auto" w:fill="auto"/>
            <w:noWrap/>
            <w:vAlign w:val="bottom"/>
            <w:hideMark/>
          </w:tcPr>
          <w:p w14:paraId="44CC8516" w14:textId="4955804A" w:rsidR="00E626A7" w:rsidRPr="00E224F1" w:rsidRDefault="00E626A7" w:rsidP="00E626A7">
            <w:pPr>
              <w:spacing w:before="0" w:after="0"/>
              <w:jc w:val="right"/>
              <w:rPr>
                <w:rFonts w:cs="Arial"/>
                <w:b/>
                <w:bCs/>
                <w:sz w:val="20"/>
                <w:szCs w:val="20"/>
                <w:lang w:val="es-ES_tradnl" w:eastAsia="en-US"/>
              </w:rPr>
            </w:pPr>
            <w:r>
              <w:rPr>
                <w:rFonts w:cs="Arial"/>
                <w:b/>
                <w:bCs/>
                <w:sz w:val="20"/>
                <w:szCs w:val="20"/>
              </w:rPr>
              <w:t>18,410</w:t>
            </w:r>
          </w:p>
        </w:tc>
        <w:tc>
          <w:tcPr>
            <w:tcW w:w="907" w:type="dxa"/>
            <w:tcBorders>
              <w:top w:val="nil"/>
              <w:left w:val="nil"/>
              <w:bottom w:val="single" w:sz="8" w:space="0" w:color="auto"/>
              <w:right w:val="single" w:sz="4" w:space="0" w:color="auto"/>
            </w:tcBorders>
            <w:shd w:val="clear" w:color="auto" w:fill="auto"/>
            <w:noWrap/>
            <w:vAlign w:val="bottom"/>
            <w:hideMark/>
          </w:tcPr>
          <w:p w14:paraId="751A7F85" w14:textId="32D7697E" w:rsidR="00E626A7" w:rsidRPr="00E224F1" w:rsidRDefault="00E626A7" w:rsidP="00E626A7">
            <w:pPr>
              <w:spacing w:before="0" w:after="0"/>
              <w:jc w:val="right"/>
              <w:rPr>
                <w:rFonts w:cs="Arial"/>
                <w:b/>
                <w:bCs/>
                <w:sz w:val="20"/>
                <w:szCs w:val="20"/>
                <w:lang w:val="es-ES_tradnl" w:eastAsia="en-US"/>
              </w:rPr>
            </w:pPr>
            <w:r>
              <w:rPr>
                <w:rFonts w:cs="Arial"/>
                <w:b/>
                <w:bCs/>
                <w:sz w:val="20"/>
                <w:szCs w:val="20"/>
              </w:rPr>
              <w:t>10,074</w:t>
            </w:r>
          </w:p>
        </w:tc>
        <w:tc>
          <w:tcPr>
            <w:tcW w:w="1123" w:type="dxa"/>
            <w:tcBorders>
              <w:top w:val="nil"/>
              <w:left w:val="nil"/>
              <w:bottom w:val="single" w:sz="8" w:space="0" w:color="auto"/>
              <w:right w:val="single" w:sz="4" w:space="0" w:color="auto"/>
            </w:tcBorders>
            <w:shd w:val="clear" w:color="auto" w:fill="auto"/>
            <w:noWrap/>
            <w:vAlign w:val="bottom"/>
            <w:hideMark/>
          </w:tcPr>
          <w:p w14:paraId="149B0C0D" w14:textId="76D1702B" w:rsidR="00E626A7" w:rsidRPr="00E224F1" w:rsidRDefault="00E626A7" w:rsidP="00E626A7">
            <w:pPr>
              <w:spacing w:before="0" w:after="0"/>
              <w:jc w:val="right"/>
              <w:rPr>
                <w:rFonts w:cs="Arial"/>
                <w:b/>
                <w:bCs/>
                <w:sz w:val="20"/>
                <w:szCs w:val="20"/>
                <w:lang w:val="es-ES_tradnl" w:eastAsia="en-US"/>
              </w:rPr>
            </w:pPr>
            <w:r>
              <w:rPr>
                <w:rFonts w:cs="Arial"/>
                <w:b/>
                <w:bCs/>
                <w:sz w:val="20"/>
                <w:szCs w:val="20"/>
              </w:rPr>
              <w:t>4,900</w:t>
            </w:r>
          </w:p>
        </w:tc>
        <w:tc>
          <w:tcPr>
            <w:tcW w:w="907" w:type="dxa"/>
            <w:tcBorders>
              <w:top w:val="nil"/>
              <w:left w:val="nil"/>
              <w:bottom w:val="single" w:sz="8" w:space="0" w:color="auto"/>
              <w:right w:val="single" w:sz="4" w:space="0" w:color="auto"/>
            </w:tcBorders>
            <w:shd w:val="clear" w:color="auto" w:fill="auto"/>
            <w:noWrap/>
            <w:vAlign w:val="bottom"/>
            <w:hideMark/>
          </w:tcPr>
          <w:p w14:paraId="1B2A1695" w14:textId="4D8DF420" w:rsidR="00E626A7" w:rsidRPr="00E224F1" w:rsidRDefault="00E626A7" w:rsidP="00E626A7">
            <w:pPr>
              <w:spacing w:before="0" w:after="0"/>
              <w:jc w:val="right"/>
              <w:rPr>
                <w:rFonts w:cs="Arial"/>
                <w:b/>
                <w:bCs/>
                <w:sz w:val="20"/>
                <w:szCs w:val="20"/>
                <w:lang w:val="es-ES_tradnl" w:eastAsia="en-US"/>
              </w:rPr>
            </w:pPr>
            <w:r>
              <w:rPr>
                <w:rFonts w:cs="Arial"/>
                <w:b/>
                <w:bCs/>
                <w:sz w:val="20"/>
                <w:szCs w:val="20"/>
              </w:rPr>
              <w:t>4,707</w:t>
            </w:r>
          </w:p>
        </w:tc>
        <w:tc>
          <w:tcPr>
            <w:tcW w:w="1030" w:type="dxa"/>
            <w:tcBorders>
              <w:top w:val="nil"/>
              <w:left w:val="nil"/>
              <w:bottom w:val="single" w:sz="8" w:space="0" w:color="auto"/>
              <w:right w:val="single" w:sz="4" w:space="0" w:color="auto"/>
            </w:tcBorders>
            <w:shd w:val="clear" w:color="auto" w:fill="auto"/>
            <w:noWrap/>
            <w:vAlign w:val="bottom"/>
            <w:hideMark/>
          </w:tcPr>
          <w:p w14:paraId="38B10D06" w14:textId="4B36DC11" w:rsidR="00E626A7" w:rsidRPr="00E224F1" w:rsidRDefault="00E626A7" w:rsidP="00E626A7">
            <w:pPr>
              <w:spacing w:before="0" w:after="0"/>
              <w:jc w:val="right"/>
              <w:rPr>
                <w:rFonts w:cs="Arial"/>
                <w:b/>
                <w:bCs/>
                <w:sz w:val="20"/>
                <w:szCs w:val="20"/>
                <w:lang w:val="es-ES_tradnl" w:eastAsia="en-US"/>
              </w:rPr>
            </w:pPr>
            <w:r>
              <w:rPr>
                <w:rFonts w:cs="Arial"/>
                <w:b/>
                <w:bCs/>
                <w:sz w:val="20"/>
                <w:szCs w:val="20"/>
              </w:rPr>
              <w:t>38,091</w:t>
            </w:r>
          </w:p>
        </w:tc>
      </w:tr>
    </w:tbl>
    <w:p w14:paraId="30480C39" w14:textId="77777777" w:rsidR="0027160C" w:rsidRDefault="0027160C" w:rsidP="00853FBE">
      <w:pPr>
        <w:pStyle w:val="Textoindependiente"/>
        <w:ind w:firstLine="567"/>
        <w:rPr>
          <w:sz w:val="22"/>
          <w:szCs w:val="22"/>
        </w:rPr>
      </w:pPr>
    </w:p>
    <w:p w14:paraId="25398EEE" w14:textId="690EEE4E" w:rsidR="00853FBE" w:rsidRDefault="00853FBE" w:rsidP="00853FBE">
      <w:pPr>
        <w:pStyle w:val="Textoindependiente"/>
        <w:ind w:firstLine="567"/>
        <w:rPr>
          <w:sz w:val="22"/>
          <w:szCs w:val="22"/>
        </w:rPr>
      </w:pPr>
      <w:r w:rsidRPr="00745E72">
        <w:rPr>
          <w:sz w:val="22"/>
          <w:szCs w:val="22"/>
        </w:rPr>
        <w:t xml:space="preserve">Los honorarios correspondientes a la auditoría del ejercicio </w:t>
      </w:r>
      <w:r w:rsidR="000253BC">
        <w:rPr>
          <w:sz w:val="22"/>
          <w:szCs w:val="22"/>
        </w:rPr>
        <w:t>2021</w:t>
      </w:r>
      <w:r w:rsidRPr="00745E72">
        <w:rPr>
          <w:sz w:val="22"/>
          <w:szCs w:val="22"/>
        </w:rPr>
        <w:t xml:space="preserve">, cerrado el 31 de </w:t>
      </w:r>
      <w:r w:rsidR="002656F1" w:rsidRPr="00745E72">
        <w:rPr>
          <w:sz w:val="22"/>
          <w:szCs w:val="22"/>
        </w:rPr>
        <w:t>diciembre</w:t>
      </w:r>
      <w:r w:rsidRPr="00745E72">
        <w:rPr>
          <w:sz w:val="22"/>
          <w:szCs w:val="22"/>
        </w:rPr>
        <w:t xml:space="preserve"> de </w:t>
      </w:r>
      <w:r w:rsidR="000253BC">
        <w:rPr>
          <w:sz w:val="22"/>
          <w:szCs w:val="22"/>
        </w:rPr>
        <w:t>2021</w:t>
      </w:r>
      <w:r w:rsidRPr="00745E72">
        <w:rPr>
          <w:sz w:val="22"/>
          <w:szCs w:val="22"/>
        </w:rPr>
        <w:t xml:space="preserve">, ascienden a </w:t>
      </w:r>
      <w:r w:rsidR="00F31842" w:rsidRPr="00F31842">
        <w:rPr>
          <w:sz w:val="22"/>
          <w:szCs w:val="22"/>
        </w:rPr>
        <w:t>9.000</w:t>
      </w:r>
      <w:r w:rsidR="000D729A" w:rsidRPr="00F31842">
        <w:rPr>
          <w:sz w:val="22"/>
          <w:szCs w:val="22"/>
        </w:rPr>
        <w:t>,00</w:t>
      </w:r>
      <w:r w:rsidRPr="00745E72">
        <w:rPr>
          <w:sz w:val="22"/>
          <w:szCs w:val="22"/>
        </w:rPr>
        <w:t xml:space="preserve"> euros,</w:t>
      </w:r>
      <w:r>
        <w:rPr>
          <w:sz w:val="22"/>
          <w:szCs w:val="22"/>
        </w:rPr>
        <w:t xml:space="preserve"> mientras que los honorarios correspondientes a la auditoría del ejercicio </w:t>
      </w:r>
      <w:r w:rsidR="000253BC">
        <w:rPr>
          <w:sz w:val="22"/>
          <w:szCs w:val="22"/>
        </w:rPr>
        <w:t>2020</w:t>
      </w:r>
      <w:r>
        <w:rPr>
          <w:sz w:val="22"/>
          <w:szCs w:val="22"/>
        </w:rPr>
        <w:t xml:space="preserve">, cerrado el 31 de diciembre de </w:t>
      </w:r>
      <w:r w:rsidR="000253BC">
        <w:rPr>
          <w:sz w:val="22"/>
          <w:szCs w:val="22"/>
        </w:rPr>
        <w:t>2020</w:t>
      </w:r>
      <w:r>
        <w:rPr>
          <w:sz w:val="22"/>
          <w:szCs w:val="22"/>
        </w:rPr>
        <w:t xml:space="preserve"> fueron de </w:t>
      </w:r>
      <w:r w:rsidR="00E626A7">
        <w:rPr>
          <w:sz w:val="22"/>
          <w:szCs w:val="22"/>
        </w:rPr>
        <w:t>7.988,00</w:t>
      </w:r>
      <w:r w:rsidR="00E626A7" w:rsidRPr="00745E72">
        <w:rPr>
          <w:sz w:val="22"/>
          <w:szCs w:val="22"/>
        </w:rPr>
        <w:t xml:space="preserve"> </w:t>
      </w:r>
      <w:r>
        <w:rPr>
          <w:sz w:val="22"/>
          <w:szCs w:val="22"/>
        </w:rPr>
        <w:t>euros</w:t>
      </w:r>
      <w:r w:rsidRPr="00565DBE">
        <w:rPr>
          <w:sz w:val="22"/>
          <w:szCs w:val="22"/>
        </w:rPr>
        <w:t>.</w:t>
      </w:r>
    </w:p>
    <w:p w14:paraId="276487B0" w14:textId="2FA5255D" w:rsidR="00160F5E" w:rsidRPr="00160F5E" w:rsidRDefault="00160F5E" w:rsidP="00160F5E">
      <w:pPr>
        <w:widowControl w:val="0"/>
        <w:autoSpaceDE w:val="0"/>
        <w:autoSpaceDN w:val="0"/>
        <w:adjustRightInd w:val="0"/>
        <w:spacing w:after="0"/>
        <w:ind w:firstLine="283"/>
        <w:jc w:val="both"/>
        <w:rPr>
          <w:color w:val="000000"/>
          <w:sz w:val="22"/>
          <w:szCs w:val="22"/>
        </w:rPr>
      </w:pPr>
      <w:r w:rsidRPr="00160F5E">
        <w:rPr>
          <w:color w:val="000000"/>
          <w:sz w:val="22"/>
          <w:szCs w:val="22"/>
        </w:rPr>
        <w:lastRenderedPageBreak/>
        <w:t xml:space="preserve">El pasado 11 de marzo de 2020, la Organización Mundial de la Salud elevó la situación de emergencia de salud pública ocasionada por el brote del coronavirus (COVID-19) a pandemia internacional. La rápida evolución de los hechos, a escala nacional e internacional, </w:t>
      </w:r>
      <w:r w:rsidR="007509FA">
        <w:rPr>
          <w:color w:val="000000"/>
          <w:sz w:val="22"/>
          <w:szCs w:val="22"/>
        </w:rPr>
        <w:t>supuso</w:t>
      </w:r>
      <w:r w:rsidRPr="00160F5E">
        <w:rPr>
          <w:color w:val="000000"/>
          <w:sz w:val="22"/>
          <w:szCs w:val="22"/>
        </w:rPr>
        <w:t xml:space="preserve"> una crisis sanitaria sin precedentes, que </w:t>
      </w:r>
      <w:r w:rsidR="007509FA">
        <w:rPr>
          <w:color w:val="000000"/>
          <w:sz w:val="22"/>
          <w:szCs w:val="22"/>
        </w:rPr>
        <w:t>ha impactado</w:t>
      </w:r>
      <w:r w:rsidRPr="00160F5E">
        <w:rPr>
          <w:color w:val="000000"/>
          <w:sz w:val="22"/>
          <w:szCs w:val="22"/>
        </w:rPr>
        <w:t xml:space="preserve"> en el entorno macroeconómico y en la evolución de los negocios. </w:t>
      </w:r>
    </w:p>
    <w:p w14:paraId="74545C71" w14:textId="3F9ADE79" w:rsidR="00160F5E" w:rsidRPr="00160F5E" w:rsidRDefault="007509FA" w:rsidP="00160F5E">
      <w:pPr>
        <w:widowControl w:val="0"/>
        <w:autoSpaceDE w:val="0"/>
        <w:autoSpaceDN w:val="0"/>
        <w:adjustRightInd w:val="0"/>
        <w:spacing w:after="0"/>
        <w:ind w:firstLine="283"/>
        <w:jc w:val="both"/>
        <w:rPr>
          <w:color w:val="000000"/>
          <w:sz w:val="22"/>
          <w:szCs w:val="22"/>
        </w:rPr>
      </w:pPr>
      <w:r>
        <w:rPr>
          <w:color w:val="000000"/>
          <w:sz w:val="22"/>
          <w:szCs w:val="22"/>
        </w:rPr>
        <w:t>La Sociedad llevó</w:t>
      </w:r>
      <w:r w:rsidR="00160F5E" w:rsidRPr="00160F5E">
        <w:rPr>
          <w:color w:val="000000"/>
          <w:sz w:val="22"/>
          <w:szCs w:val="22"/>
        </w:rPr>
        <w:t xml:space="preserve"> a cabo las gestiones oportunas con el objeto de hacer frente a la situación y minimizar su impacto, considerando que se trata</w:t>
      </w:r>
      <w:r>
        <w:rPr>
          <w:color w:val="000000"/>
          <w:sz w:val="22"/>
          <w:szCs w:val="22"/>
        </w:rPr>
        <w:t>ba</w:t>
      </w:r>
      <w:r w:rsidR="00160F5E" w:rsidRPr="00160F5E">
        <w:rPr>
          <w:color w:val="000000"/>
          <w:sz w:val="22"/>
          <w:szCs w:val="22"/>
        </w:rPr>
        <w:t xml:space="preserve"> de una situación coyuntural que, conforme a las estimaciones más actuales y a la posición de tesorería a la fecha, no compromete la aplicación del principio de empresa en funcionamiento (véase Nota 2.3). </w:t>
      </w:r>
    </w:p>
    <w:p w14:paraId="34929B43" w14:textId="6D910328" w:rsidR="00EB0CAF" w:rsidRDefault="00160F5E" w:rsidP="00160F5E">
      <w:pPr>
        <w:widowControl w:val="0"/>
        <w:autoSpaceDE w:val="0"/>
        <w:autoSpaceDN w:val="0"/>
        <w:adjustRightInd w:val="0"/>
        <w:spacing w:after="0"/>
        <w:ind w:firstLine="283"/>
        <w:jc w:val="both"/>
        <w:rPr>
          <w:color w:val="000000"/>
          <w:sz w:val="22"/>
          <w:szCs w:val="22"/>
        </w:rPr>
      </w:pPr>
      <w:r w:rsidRPr="00160F5E">
        <w:rPr>
          <w:color w:val="000000"/>
          <w:sz w:val="22"/>
          <w:szCs w:val="22"/>
        </w:rPr>
        <w:t xml:space="preserve">El impacto en los diferentes sectores de la economía </w:t>
      </w:r>
      <w:r w:rsidR="007509FA">
        <w:rPr>
          <w:color w:val="000000"/>
          <w:sz w:val="22"/>
          <w:szCs w:val="22"/>
        </w:rPr>
        <w:t>ha sido</w:t>
      </w:r>
      <w:r w:rsidRPr="00160F5E">
        <w:rPr>
          <w:color w:val="000000"/>
          <w:sz w:val="22"/>
          <w:szCs w:val="22"/>
        </w:rPr>
        <w:t xml:space="preserve"> desigual, pero puede considerarse de cierta gravedad en todas las actividades económicas. La principal razón es el frenazo en el crecimiento económico en todo el mundo, que </w:t>
      </w:r>
      <w:r w:rsidR="007509FA">
        <w:rPr>
          <w:color w:val="000000"/>
          <w:sz w:val="22"/>
          <w:szCs w:val="22"/>
        </w:rPr>
        <w:t>pudo</w:t>
      </w:r>
      <w:r w:rsidRPr="00160F5E">
        <w:rPr>
          <w:color w:val="000000"/>
          <w:sz w:val="22"/>
          <w:szCs w:val="22"/>
        </w:rPr>
        <w:t xml:space="preserve"> convertirse incluso en recesión en algunas economías, incluida la española, con el consecuente impacto en las empresas.</w:t>
      </w:r>
    </w:p>
    <w:p w14:paraId="7085CC14" w14:textId="77777777" w:rsidR="004E6A56" w:rsidRDefault="004E6A56" w:rsidP="00160F5E">
      <w:pPr>
        <w:widowControl w:val="0"/>
        <w:autoSpaceDE w:val="0"/>
        <w:autoSpaceDN w:val="0"/>
        <w:adjustRightInd w:val="0"/>
        <w:spacing w:after="0"/>
        <w:ind w:firstLine="283"/>
        <w:jc w:val="both"/>
        <w:rPr>
          <w:color w:val="000000"/>
          <w:sz w:val="22"/>
          <w:szCs w:val="22"/>
        </w:rPr>
      </w:pPr>
    </w:p>
    <w:p w14:paraId="4FB4354F" w14:textId="3C1700D5" w:rsidR="004E6A56" w:rsidRDefault="004E6A56" w:rsidP="00853FBE">
      <w:pPr>
        <w:pStyle w:val="Textoindependiente"/>
        <w:ind w:firstLine="567"/>
        <w:rPr>
          <w:b/>
          <w:bCs/>
          <w:sz w:val="22"/>
          <w:szCs w:val="22"/>
          <w:u w:val="single"/>
        </w:rPr>
      </w:pPr>
      <w:r w:rsidRPr="004E6A56">
        <w:rPr>
          <w:b/>
          <w:bCs/>
          <w:sz w:val="22"/>
          <w:szCs w:val="22"/>
          <w:u w:val="single"/>
        </w:rPr>
        <w:t>Medidas e impactos provocados por la situación de COVID-19</w:t>
      </w:r>
    </w:p>
    <w:p w14:paraId="5987D16E" w14:textId="77777777" w:rsidR="004E6A56" w:rsidRPr="004E6A56" w:rsidRDefault="004E6A56" w:rsidP="00853FBE">
      <w:pPr>
        <w:pStyle w:val="Textoindependiente"/>
        <w:ind w:firstLine="567"/>
        <w:rPr>
          <w:b/>
          <w:bCs/>
          <w:sz w:val="22"/>
          <w:szCs w:val="22"/>
          <w:u w:val="single"/>
        </w:rPr>
      </w:pPr>
    </w:p>
    <w:p w14:paraId="5EBE435B" w14:textId="15622B4A" w:rsidR="00EB0CAF" w:rsidRPr="00F31842" w:rsidRDefault="00160F5E" w:rsidP="00853FBE">
      <w:pPr>
        <w:pStyle w:val="Textoindependiente"/>
        <w:ind w:firstLine="567"/>
        <w:rPr>
          <w:sz w:val="22"/>
          <w:szCs w:val="22"/>
        </w:rPr>
      </w:pPr>
      <w:r w:rsidRPr="00F31842">
        <w:rPr>
          <w:sz w:val="22"/>
          <w:szCs w:val="22"/>
        </w:rPr>
        <w:t xml:space="preserve">A </w:t>
      </w:r>
      <w:r w:rsidR="00AD7BA2" w:rsidRPr="00F31842">
        <w:rPr>
          <w:sz w:val="22"/>
          <w:szCs w:val="22"/>
        </w:rPr>
        <w:t>continuación,</w:t>
      </w:r>
      <w:r w:rsidRPr="00F31842">
        <w:rPr>
          <w:sz w:val="22"/>
          <w:szCs w:val="22"/>
        </w:rPr>
        <w:t xml:space="preserve"> se detallan las medidas y efectos, a nuestro juicio más relevantes, que han tenido lugar por la situación de COVID-19 en la Sociedad:</w:t>
      </w:r>
    </w:p>
    <w:p w14:paraId="68365F8E" w14:textId="20AF9613" w:rsidR="00160F5E" w:rsidRPr="00F31842" w:rsidRDefault="00160F5E" w:rsidP="007509FA">
      <w:pPr>
        <w:pStyle w:val="Textoindependiente"/>
        <w:numPr>
          <w:ilvl w:val="0"/>
          <w:numId w:val="45"/>
        </w:numPr>
        <w:rPr>
          <w:sz w:val="22"/>
          <w:szCs w:val="22"/>
        </w:rPr>
      </w:pPr>
      <w:r w:rsidRPr="00F31842">
        <w:rPr>
          <w:sz w:val="22"/>
          <w:szCs w:val="22"/>
        </w:rPr>
        <w:t xml:space="preserve">Cierre de los dos hoteles propiedad de la Sociedad con fecha 23 de marzo de 2020, quedando la actividad principal paralizada. </w:t>
      </w:r>
      <w:r w:rsidR="00F31842" w:rsidRPr="00F31842">
        <w:rPr>
          <w:sz w:val="22"/>
          <w:szCs w:val="22"/>
        </w:rPr>
        <w:t xml:space="preserve">Se produjo la reapertura de los mismos en el tercer trimestre de 2021. </w:t>
      </w:r>
      <w:r w:rsidR="007509FA" w:rsidRPr="007509FA">
        <w:rPr>
          <w:sz w:val="22"/>
          <w:szCs w:val="22"/>
        </w:rPr>
        <w:t xml:space="preserve">Ambos hoteles permanecen abiertos hasta la fecha sin observar ninguna incidencia desde las reaperturas, aparte de las conocidas restricciones que ha sufrido la hostelería en Canarias, especialmente los meses de diciembre 2021 y </w:t>
      </w:r>
      <w:r w:rsidR="007509FA">
        <w:rPr>
          <w:sz w:val="22"/>
          <w:szCs w:val="22"/>
        </w:rPr>
        <w:t>enero de</w:t>
      </w:r>
      <w:r w:rsidR="007509FA" w:rsidRPr="007509FA">
        <w:rPr>
          <w:sz w:val="22"/>
          <w:szCs w:val="22"/>
        </w:rPr>
        <w:t xml:space="preserve"> 2022.  </w:t>
      </w:r>
    </w:p>
    <w:p w14:paraId="274CCE51" w14:textId="6A679533" w:rsidR="00160F5E" w:rsidRDefault="00160F5E" w:rsidP="00160F5E">
      <w:pPr>
        <w:pStyle w:val="Textoindependiente"/>
        <w:numPr>
          <w:ilvl w:val="0"/>
          <w:numId w:val="45"/>
        </w:numPr>
        <w:rPr>
          <w:sz w:val="22"/>
          <w:szCs w:val="22"/>
        </w:rPr>
      </w:pPr>
      <w:r>
        <w:rPr>
          <w:sz w:val="22"/>
          <w:szCs w:val="22"/>
        </w:rPr>
        <w:t xml:space="preserve">Como consecuencia de lo anterior, se solicitó y se concedió un Expediente de Regulación Temporal de Empleo (E.R.T.E.) afectando a unos 100 trabajadores, quedando en la plantilla 9 personas en el ámbito del sector de hostelería (7 en activo y 2 personas de baja), 4 trabajadores en el sector agrícola y un trabajador en el Edificio </w:t>
      </w:r>
      <w:proofErr w:type="spellStart"/>
      <w:r>
        <w:rPr>
          <w:sz w:val="22"/>
          <w:szCs w:val="22"/>
        </w:rPr>
        <w:t>Persea</w:t>
      </w:r>
      <w:proofErr w:type="spellEnd"/>
      <w:r>
        <w:rPr>
          <w:sz w:val="22"/>
          <w:szCs w:val="22"/>
        </w:rPr>
        <w:t xml:space="preserve">, en Los Realejos. </w:t>
      </w:r>
    </w:p>
    <w:p w14:paraId="22D3C116" w14:textId="15800EC7" w:rsidR="00DE0E04" w:rsidRDefault="00DE0E04" w:rsidP="00160F5E">
      <w:pPr>
        <w:pStyle w:val="Textoindependiente"/>
        <w:numPr>
          <w:ilvl w:val="0"/>
          <w:numId w:val="45"/>
        </w:numPr>
        <w:rPr>
          <w:sz w:val="22"/>
          <w:szCs w:val="22"/>
        </w:rPr>
      </w:pPr>
      <w:r>
        <w:rPr>
          <w:sz w:val="22"/>
          <w:szCs w:val="22"/>
        </w:rPr>
        <w:t xml:space="preserve">Hubo de mantener a 5 personas de empresas externas para cubrir los servicios mínimos de mantenimiento de los hoteles </w:t>
      </w:r>
      <w:proofErr w:type="spellStart"/>
      <w:r>
        <w:rPr>
          <w:sz w:val="22"/>
          <w:szCs w:val="22"/>
        </w:rPr>
        <w:t>Vallemar</w:t>
      </w:r>
      <w:proofErr w:type="spellEnd"/>
      <w:r>
        <w:rPr>
          <w:sz w:val="22"/>
          <w:szCs w:val="22"/>
        </w:rPr>
        <w:t xml:space="preserve"> y Laguna </w:t>
      </w:r>
      <w:proofErr w:type="spellStart"/>
      <w:r>
        <w:rPr>
          <w:sz w:val="22"/>
          <w:szCs w:val="22"/>
        </w:rPr>
        <w:t>Nivaria</w:t>
      </w:r>
      <w:proofErr w:type="spellEnd"/>
      <w:r>
        <w:rPr>
          <w:sz w:val="22"/>
          <w:szCs w:val="22"/>
        </w:rPr>
        <w:t xml:space="preserve">. </w:t>
      </w:r>
    </w:p>
    <w:p w14:paraId="6CC3B132" w14:textId="0F3DC29F" w:rsidR="00DE0E04" w:rsidRDefault="00DE0E04" w:rsidP="00160F5E">
      <w:pPr>
        <w:pStyle w:val="Textoindependiente"/>
        <w:numPr>
          <w:ilvl w:val="0"/>
          <w:numId w:val="45"/>
        </w:numPr>
        <w:rPr>
          <w:sz w:val="22"/>
          <w:szCs w:val="22"/>
        </w:rPr>
      </w:pPr>
      <w:r>
        <w:rPr>
          <w:sz w:val="22"/>
          <w:szCs w:val="22"/>
        </w:rPr>
        <w:t xml:space="preserve">La actividad de arrendamiento de viviendas se ha mantenido activo desde que empezó la pandemia, con unos niveles de ingresos similares a la situación de antes de la situación de emergencia sanitaria. </w:t>
      </w:r>
    </w:p>
    <w:p w14:paraId="4F601817" w14:textId="13FE5BD6" w:rsidR="00DE0E04" w:rsidRDefault="00DE0E04" w:rsidP="00160F5E">
      <w:pPr>
        <w:pStyle w:val="Textoindependiente"/>
        <w:numPr>
          <w:ilvl w:val="0"/>
          <w:numId w:val="45"/>
        </w:numPr>
        <w:rPr>
          <w:sz w:val="22"/>
          <w:szCs w:val="22"/>
        </w:rPr>
      </w:pPr>
      <w:r>
        <w:rPr>
          <w:sz w:val="22"/>
          <w:szCs w:val="22"/>
        </w:rPr>
        <w:t xml:space="preserve">La actividad de arrendamiento de locales sí </w:t>
      </w:r>
      <w:r w:rsidR="00AD7BA2">
        <w:rPr>
          <w:sz w:val="22"/>
          <w:szCs w:val="22"/>
        </w:rPr>
        <w:t>se vio</w:t>
      </w:r>
      <w:r>
        <w:rPr>
          <w:sz w:val="22"/>
          <w:szCs w:val="22"/>
        </w:rPr>
        <w:t xml:space="preserve"> lastrada por el impacto de la pandemia, paralizándose durante el segundo trimestre del año</w:t>
      </w:r>
      <w:r w:rsidR="007509FA">
        <w:rPr>
          <w:sz w:val="22"/>
          <w:szCs w:val="22"/>
        </w:rPr>
        <w:t xml:space="preserve"> 2020</w:t>
      </w:r>
      <w:r>
        <w:rPr>
          <w:sz w:val="22"/>
          <w:szCs w:val="22"/>
        </w:rPr>
        <w:t xml:space="preserve">. En La Laguna se empezó a reactivar en junio </w:t>
      </w:r>
      <w:r w:rsidR="007509FA">
        <w:rPr>
          <w:sz w:val="22"/>
          <w:szCs w:val="22"/>
        </w:rPr>
        <w:t xml:space="preserve">de 2020 </w:t>
      </w:r>
      <w:r>
        <w:rPr>
          <w:sz w:val="22"/>
          <w:szCs w:val="22"/>
        </w:rPr>
        <w:t>y en Puerto de la Cruz, en julio</w:t>
      </w:r>
      <w:r w:rsidR="007509FA">
        <w:rPr>
          <w:sz w:val="22"/>
          <w:szCs w:val="22"/>
        </w:rPr>
        <w:t xml:space="preserve"> de 2020</w:t>
      </w:r>
      <w:r>
        <w:rPr>
          <w:sz w:val="22"/>
          <w:szCs w:val="22"/>
        </w:rPr>
        <w:t xml:space="preserve">, de forma muy ligera, teniendo que dar condiciones especiales para la reapertura a los inquilinos, dado el nuevo escenario de ausencia de turistas. </w:t>
      </w:r>
    </w:p>
    <w:p w14:paraId="28D5388E" w14:textId="084BA517" w:rsidR="00AD7BA2" w:rsidRPr="007509FA" w:rsidRDefault="00DE0E04" w:rsidP="007509FA">
      <w:pPr>
        <w:pStyle w:val="Textoindependiente"/>
        <w:numPr>
          <w:ilvl w:val="0"/>
          <w:numId w:val="45"/>
        </w:numPr>
        <w:rPr>
          <w:sz w:val="22"/>
          <w:szCs w:val="22"/>
        </w:rPr>
      </w:pPr>
      <w:r>
        <w:rPr>
          <w:sz w:val="22"/>
          <w:szCs w:val="22"/>
        </w:rPr>
        <w:t>La actividad agrícola también se mantuvo en los niveles habituales de los últimos a</w:t>
      </w:r>
      <w:r w:rsidR="001C74F9">
        <w:rPr>
          <w:sz w:val="22"/>
          <w:szCs w:val="22"/>
        </w:rPr>
        <w:t>ños.</w:t>
      </w:r>
      <w:r w:rsidR="00AD7BA2" w:rsidRPr="007509FA">
        <w:rPr>
          <w:sz w:val="22"/>
          <w:szCs w:val="22"/>
        </w:rPr>
        <w:t xml:space="preserve"> </w:t>
      </w:r>
    </w:p>
    <w:p w14:paraId="40581135" w14:textId="41079C84" w:rsidR="004E6A56" w:rsidRDefault="004E6A56" w:rsidP="004E6A56">
      <w:pPr>
        <w:pStyle w:val="Textoindependiente"/>
        <w:rPr>
          <w:sz w:val="22"/>
          <w:szCs w:val="22"/>
        </w:rPr>
      </w:pPr>
    </w:p>
    <w:p w14:paraId="5C0C464C" w14:textId="5DBFFD11" w:rsidR="004E6A56" w:rsidRDefault="004E6A56" w:rsidP="004E6A56">
      <w:pPr>
        <w:pStyle w:val="Textoindependiente"/>
        <w:ind w:firstLine="567"/>
        <w:rPr>
          <w:b/>
          <w:bCs/>
          <w:sz w:val="22"/>
          <w:szCs w:val="22"/>
          <w:u w:val="single"/>
        </w:rPr>
      </w:pPr>
      <w:r w:rsidRPr="004E6A56">
        <w:rPr>
          <w:b/>
          <w:bCs/>
          <w:sz w:val="22"/>
          <w:szCs w:val="22"/>
          <w:u w:val="single"/>
        </w:rPr>
        <w:t>Factores mitigantes</w:t>
      </w:r>
      <w:r w:rsidRPr="004E6A56">
        <w:rPr>
          <w:b/>
          <w:bCs/>
          <w:u w:val="single"/>
        </w:rPr>
        <w:t xml:space="preserve"> </w:t>
      </w:r>
      <w:r w:rsidRPr="004E6A56">
        <w:rPr>
          <w:b/>
          <w:bCs/>
          <w:sz w:val="22"/>
          <w:szCs w:val="22"/>
          <w:u w:val="single"/>
        </w:rPr>
        <w:t>más relevantes, de la situación actual de COVID-19, con los que la Sociedad ha contado y por los que se aplica el principio de empresa en funcionamiento</w:t>
      </w:r>
    </w:p>
    <w:p w14:paraId="295C60C6" w14:textId="57F95F79" w:rsidR="004E6A56" w:rsidRDefault="004E6A56" w:rsidP="004E6A56">
      <w:pPr>
        <w:pStyle w:val="Textoindependiente"/>
        <w:rPr>
          <w:b/>
          <w:bCs/>
          <w:sz w:val="22"/>
          <w:szCs w:val="22"/>
          <w:u w:val="single"/>
        </w:rPr>
      </w:pPr>
    </w:p>
    <w:p w14:paraId="14D0931B" w14:textId="1B707AB4" w:rsidR="004E6A56" w:rsidRDefault="004E6A56" w:rsidP="004E6A56">
      <w:pPr>
        <w:pStyle w:val="Textoindependiente"/>
        <w:ind w:firstLine="567"/>
        <w:rPr>
          <w:sz w:val="22"/>
          <w:szCs w:val="22"/>
        </w:rPr>
      </w:pPr>
      <w:r w:rsidRPr="004E6A56">
        <w:rPr>
          <w:sz w:val="22"/>
          <w:szCs w:val="22"/>
        </w:rPr>
        <w:t>Los factores mitigantes más relevantes, de la situación actual de COVID-19, con los que la Sociedad ha contado y por los que se aplica el principio de empresa en funcionamiento, son los siguientes:</w:t>
      </w:r>
    </w:p>
    <w:p w14:paraId="2EFEE0A6" w14:textId="422CDCA7" w:rsidR="004E6A56" w:rsidRDefault="00FF558A" w:rsidP="004E6A56">
      <w:pPr>
        <w:pStyle w:val="Textoindependiente"/>
        <w:numPr>
          <w:ilvl w:val="0"/>
          <w:numId w:val="46"/>
        </w:numPr>
        <w:rPr>
          <w:sz w:val="22"/>
          <w:szCs w:val="22"/>
        </w:rPr>
      </w:pPr>
      <w:r>
        <w:rPr>
          <w:sz w:val="22"/>
          <w:szCs w:val="22"/>
        </w:rPr>
        <w:t xml:space="preserve">La excelente situación de la tesorería de la Sociedad ha permitido no tener la necesidad de buscar financiación ajena para afrontar las pérdidas incurridas. </w:t>
      </w:r>
    </w:p>
    <w:p w14:paraId="4E19CFCE" w14:textId="141F35E0" w:rsidR="00FF558A" w:rsidRDefault="00AD7BA2" w:rsidP="004E6A56">
      <w:pPr>
        <w:pStyle w:val="Textoindependiente"/>
        <w:numPr>
          <w:ilvl w:val="0"/>
          <w:numId w:val="46"/>
        </w:numPr>
        <w:rPr>
          <w:sz w:val="22"/>
          <w:szCs w:val="22"/>
        </w:rPr>
      </w:pPr>
      <w:r>
        <w:rPr>
          <w:sz w:val="22"/>
          <w:szCs w:val="22"/>
        </w:rPr>
        <w:t>Con fecha 6 de abril de 2021 se formalizó la ampliación de capital por parte del socio minoritario</w:t>
      </w:r>
      <w:r w:rsidR="004818D8">
        <w:rPr>
          <w:sz w:val="22"/>
          <w:szCs w:val="22"/>
        </w:rPr>
        <w:t xml:space="preserve">, </w:t>
      </w:r>
      <w:r w:rsidR="001C261D">
        <w:rPr>
          <w:sz w:val="22"/>
          <w:szCs w:val="22"/>
        </w:rPr>
        <w:t xml:space="preserve">tal y como se menciona en la Nota 9.4., </w:t>
      </w:r>
      <w:r w:rsidR="004818D8">
        <w:rPr>
          <w:sz w:val="22"/>
          <w:szCs w:val="22"/>
        </w:rPr>
        <w:t xml:space="preserve">que </w:t>
      </w:r>
      <w:r w:rsidR="001C261D">
        <w:rPr>
          <w:sz w:val="22"/>
          <w:szCs w:val="22"/>
        </w:rPr>
        <w:t>supuso</w:t>
      </w:r>
      <w:r w:rsidR="004818D8">
        <w:rPr>
          <w:sz w:val="22"/>
          <w:szCs w:val="22"/>
        </w:rPr>
        <w:t xml:space="preserve"> una entrada de fondos de 1.000.000 €, reforzando más aún la ya de por sí muy buena situación financiera. </w:t>
      </w:r>
    </w:p>
    <w:p w14:paraId="0CC12636" w14:textId="19B65C45" w:rsidR="001C74F9" w:rsidRDefault="00AD7BA2" w:rsidP="001C74F9">
      <w:pPr>
        <w:pStyle w:val="Textoindependiente"/>
        <w:numPr>
          <w:ilvl w:val="0"/>
          <w:numId w:val="46"/>
        </w:numPr>
        <w:rPr>
          <w:sz w:val="22"/>
          <w:szCs w:val="22"/>
        </w:rPr>
      </w:pPr>
      <w:r>
        <w:rPr>
          <w:sz w:val="22"/>
          <w:szCs w:val="22"/>
        </w:rPr>
        <w:t xml:space="preserve">La subvención de Línea </w:t>
      </w:r>
      <w:proofErr w:type="spellStart"/>
      <w:r>
        <w:rPr>
          <w:sz w:val="22"/>
          <w:szCs w:val="22"/>
        </w:rPr>
        <w:t>Covid</w:t>
      </w:r>
      <w:proofErr w:type="spellEnd"/>
      <w:r>
        <w:rPr>
          <w:sz w:val="22"/>
          <w:szCs w:val="22"/>
        </w:rPr>
        <w:t xml:space="preserve"> de ayudas directas a personas autónomas y empresas prevista en el Título I del Real Decreto-Ley 5/2021, de 12 de marzo, </w:t>
      </w:r>
      <w:r w:rsidRPr="00A346E5">
        <w:rPr>
          <w:sz w:val="22"/>
          <w:szCs w:val="22"/>
        </w:rPr>
        <w:t>de medidas extraordinarias de apoyo a la solvencia empresarial en respuesta a la pandemia de la COVID-19, financ</w:t>
      </w:r>
      <w:r>
        <w:rPr>
          <w:sz w:val="22"/>
          <w:szCs w:val="22"/>
        </w:rPr>
        <w:t xml:space="preserve">iada por el Gobierno de España, al amparo del Decreto Ley 6/2021, </w:t>
      </w:r>
      <w:r w:rsidRPr="00A346E5">
        <w:rPr>
          <w:sz w:val="22"/>
          <w:szCs w:val="22"/>
        </w:rPr>
        <w:t>de 4 de junio</w:t>
      </w:r>
      <w:r>
        <w:rPr>
          <w:sz w:val="22"/>
          <w:szCs w:val="22"/>
        </w:rPr>
        <w:t>, por importe de 2.561.404,31 €, concedida por la Consejería de Economía, Conocimiento y Empleo del Gobierno de Canarias el pasado 15 de diciembre de 2021, sirvió para minimizar las pérdidas acaecidas por efecto de la situación de emergencia sanitaria</w:t>
      </w:r>
      <w:r w:rsidR="001C74F9">
        <w:rPr>
          <w:sz w:val="22"/>
          <w:szCs w:val="22"/>
        </w:rPr>
        <w:t xml:space="preserve">. </w:t>
      </w:r>
    </w:p>
    <w:p w14:paraId="03FE7F2A" w14:textId="19EAE810" w:rsidR="001C74F9" w:rsidRPr="001C74F9" w:rsidRDefault="001C74F9" w:rsidP="001C74F9">
      <w:pPr>
        <w:pStyle w:val="Textoindependiente"/>
        <w:ind w:firstLine="567"/>
        <w:rPr>
          <w:sz w:val="22"/>
          <w:szCs w:val="22"/>
        </w:rPr>
      </w:pPr>
      <w:r>
        <w:rPr>
          <w:sz w:val="22"/>
          <w:szCs w:val="22"/>
        </w:rPr>
        <w:t xml:space="preserve">Este conjunto de medidas aplicadas, unido a la mejora de la situación epidemiológica tanto nacional como mundial, eliminan cualquier atisbo de duda que pudiera existir sobre la viabilidad de la Sociedad y, en consecuencia, sobre la aplicación del principio de empresa en funcionamiento.  </w:t>
      </w:r>
    </w:p>
    <w:p w14:paraId="2C2D1309" w14:textId="77777777" w:rsidR="00853FBE" w:rsidRDefault="00853FBE" w:rsidP="00853FBE">
      <w:pPr>
        <w:pStyle w:val="Ttulo1"/>
        <w:spacing w:before="360" w:after="120"/>
        <w:ind w:left="567" w:hanging="567"/>
        <w:jc w:val="both"/>
        <w:rPr>
          <w:sz w:val="22"/>
          <w:szCs w:val="22"/>
        </w:rPr>
      </w:pPr>
      <w:bookmarkStart w:id="114" w:name="_Toc106814621"/>
      <w:r>
        <w:rPr>
          <w:sz w:val="22"/>
          <w:szCs w:val="22"/>
        </w:rPr>
        <w:t xml:space="preserve">25. </w:t>
      </w:r>
      <w:r>
        <w:rPr>
          <w:sz w:val="22"/>
          <w:szCs w:val="22"/>
        </w:rPr>
        <w:tab/>
        <w:t>Información segmentada</w:t>
      </w:r>
      <w:bookmarkEnd w:id="114"/>
    </w:p>
    <w:p w14:paraId="583FFA30" w14:textId="77777777" w:rsidR="00853FBE" w:rsidRPr="00BF0309" w:rsidRDefault="00853FBE" w:rsidP="00853FBE"/>
    <w:p w14:paraId="296DECF0" w14:textId="77777777" w:rsidR="00853FBE" w:rsidRDefault="00853FBE" w:rsidP="00853FBE">
      <w:pPr>
        <w:pStyle w:val="Textoindependiente"/>
        <w:ind w:firstLine="567"/>
        <w:rPr>
          <w:sz w:val="22"/>
          <w:szCs w:val="22"/>
        </w:rPr>
      </w:pPr>
      <w:r>
        <w:rPr>
          <w:sz w:val="22"/>
          <w:szCs w:val="22"/>
        </w:rPr>
        <w:t>La distribución de la cifra de negocios de la Sociedad por categoría de actividades se detalla en el siguiente cuadro:</w:t>
      </w:r>
    </w:p>
    <w:bookmarkStart w:id="115" w:name="_MON_1592112089"/>
    <w:bookmarkEnd w:id="115"/>
    <w:p w14:paraId="7927836F" w14:textId="3E8ACC23" w:rsidR="00853FBE" w:rsidRDefault="00671312" w:rsidP="00853FBE">
      <w:pPr>
        <w:pStyle w:val="Textoindependiente"/>
        <w:ind w:left="567"/>
        <w:rPr>
          <w:sz w:val="22"/>
          <w:szCs w:val="22"/>
        </w:rPr>
      </w:pPr>
      <w:r w:rsidRPr="00EA0F71">
        <w:rPr>
          <w:rFonts w:ascii="Calibri" w:hAnsi="Calibri"/>
          <w:sz w:val="18"/>
          <w:szCs w:val="18"/>
        </w:rPr>
        <w:object w:dxaOrig="6390" w:dyaOrig="2400" w14:anchorId="3FDBA303">
          <v:shape id="_x0000_i1062" type="#_x0000_t75" style="width:324pt;height:122.25pt" o:ole="">
            <v:imagedata r:id="rId84" o:title=""/>
          </v:shape>
          <o:OLEObject Type="Embed" ProgID="Excel.Sheet.8" ShapeID="_x0000_i1062" DrawAspect="Content" ObjectID="_1717427643" r:id="rId85"/>
        </w:object>
      </w:r>
    </w:p>
    <w:p w14:paraId="7BEA27C4" w14:textId="77777777" w:rsidR="00853FBE" w:rsidRDefault="00853FBE" w:rsidP="00853FBE">
      <w:pPr>
        <w:tabs>
          <w:tab w:val="left" w:pos="-720"/>
        </w:tabs>
        <w:suppressAutoHyphens/>
        <w:jc w:val="both"/>
        <w:rPr>
          <w:rFonts w:cs="Arial"/>
          <w:color w:val="000000"/>
          <w:sz w:val="22"/>
          <w:szCs w:val="22"/>
        </w:rPr>
      </w:pPr>
      <w:r>
        <w:rPr>
          <w:rFonts w:cs="Arial"/>
          <w:color w:val="000000"/>
          <w:sz w:val="22"/>
          <w:szCs w:val="22"/>
        </w:rPr>
        <w:tab/>
      </w:r>
      <w:r w:rsidRPr="00AA3748">
        <w:rPr>
          <w:rFonts w:cs="Arial"/>
          <w:color w:val="000000"/>
          <w:sz w:val="22"/>
          <w:szCs w:val="22"/>
        </w:rPr>
        <w:t>Estos ingresos se han obtenido en las unidades de explotación que posee la empresa en Puerto de la Cruz, La Laguna y Valle Guerra.</w:t>
      </w:r>
    </w:p>
    <w:p w14:paraId="61048083" w14:textId="77777777" w:rsidR="00853FBE" w:rsidRPr="009D3778" w:rsidRDefault="00853FBE" w:rsidP="00853FBE">
      <w:pPr>
        <w:pStyle w:val="Ttulo1"/>
        <w:spacing w:before="360"/>
        <w:jc w:val="both"/>
        <w:rPr>
          <w:sz w:val="22"/>
          <w:szCs w:val="22"/>
        </w:rPr>
      </w:pPr>
      <w:bookmarkStart w:id="116" w:name="_Toc286055482"/>
      <w:bookmarkStart w:id="117" w:name="_Toc106814622"/>
      <w:r w:rsidRPr="009D3778">
        <w:rPr>
          <w:sz w:val="22"/>
          <w:szCs w:val="22"/>
        </w:rPr>
        <w:lastRenderedPageBreak/>
        <w:t xml:space="preserve">26. </w:t>
      </w:r>
      <w:r w:rsidRPr="009D3778">
        <w:rPr>
          <w:sz w:val="22"/>
          <w:szCs w:val="22"/>
        </w:rPr>
        <w:tab/>
        <w:t>Información sobre derechos de emisión de gases de efecto invernadero.</w:t>
      </w:r>
      <w:bookmarkEnd w:id="116"/>
      <w:bookmarkEnd w:id="117"/>
    </w:p>
    <w:p w14:paraId="04C31A9A" w14:textId="77777777" w:rsidR="00853FBE" w:rsidRDefault="00853FBE" w:rsidP="00853FBE">
      <w:pPr>
        <w:tabs>
          <w:tab w:val="left" w:pos="-720"/>
        </w:tabs>
        <w:suppressAutoHyphens/>
        <w:jc w:val="both"/>
        <w:rPr>
          <w:rFonts w:cs="Arial"/>
          <w:color w:val="000000"/>
          <w:sz w:val="22"/>
          <w:szCs w:val="22"/>
        </w:rPr>
      </w:pPr>
      <w:r>
        <w:rPr>
          <w:rFonts w:cs="Arial"/>
          <w:color w:val="000000"/>
          <w:sz w:val="22"/>
          <w:szCs w:val="22"/>
        </w:rPr>
        <w:tab/>
        <w:t>Sin contenido</w:t>
      </w:r>
    </w:p>
    <w:p w14:paraId="4BE046D5" w14:textId="287AE63E" w:rsidR="00853FBE" w:rsidRPr="009D3778" w:rsidRDefault="00853FBE" w:rsidP="00853FBE">
      <w:pPr>
        <w:pStyle w:val="Ttulo1"/>
        <w:spacing w:before="360"/>
        <w:jc w:val="both"/>
        <w:rPr>
          <w:sz w:val="22"/>
          <w:szCs w:val="22"/>
        </w:rPr>
      </w:pPr>
      <w:bookmarkStart w:id="118" w:name="_Toc285625561"/>
      <w:bookmarkStart w:id="119" w:name="_Toc106814623"/>
      <w:r w:rsidRPr="009D3778">
        <w:rPr>
          <w:sz w:val="22"/>
          <w:szCs w:val="22"/>
        </w:rPr>
        <w:t xml:space="preserve">27. </w:t>
      </w:r>
      <w:r w:rsidRPr="009D3778">
        <w:rPr>
          <w:sz w:val="22"/>
          <w:szCs w:val="22"/>
        </w:rPr>
        <w:tab/>
        <w:t xml:space="preserve">Información sobre los </w:t>
      </w:r>
      <w:r w:rsidR="00DD0164">
        <w:rPr>
          <w:sz w:val="22"/>
          <w:szCs w:val="22"/>
        </w:rPr>
        <w:t>períodos medios</w:t>
      </w:r>
      <w:r w:rsidRPr="009D3778">
        <w:rPr>
          <w:sz w:val="22"/>
          <w:szCs w:val="22"/>
        </w:rPr>
        <w:t xml:space="preserve"> de pago a proveedores. Disposición adicional tercera. “Deber de información” de la Ley 15/2010, de 5 de julio.</w:t>
      </w:r>
      <w:bookmarkEnd w:id="118"/>
      <w:bookmarkEnd w:id="119"/>
    </w:p>
    <w:p w14:paraId="760A3EC1" w14:textId="77777777" w:rsidR="00853FBE" w:rsidRDefault="00853FBE" w:rsidP="00853FBE">
      <w:pPr>
        <w:tabs>
          <w:tab w:val="left" w:pos="-720"/>
        </w:tabs>
        <w:suppressAutoHyphens/>
        <w:jc w:val="both"/>
        <w:rPr>
          <w:rFonts w:cs="Arial"/>
          <w:color w:val="000000"/>
          <w:sz w:val="22"/>
          <w:szCs w:val="22"/>
        </w:rPr>
      </w:pPr>
    </w:p>
    <w:p w14:paraId="76864BB3" w14:textId="77777777" w:rsidR="00DD0164" w:rsidRPr="007B3874" w:rsidRDefault="00DD0164" w:rsidP="00DD0164">
      <w:pPr>
        <w:pStyle w:val="Textoindependiente"/>
        <w:ind w:firstLine="708"/>
        <w:rPr>
          <w:sz w:val="22"/>
          <w:szCs w:val="22"/>
        </w:rPr>
      </w:pPr>
      <w:r w:rsidRPr="007B3874">
        <w:rPr>
          <w:sz w:val="22"/>
          <w:szCs w:val="22"/>
        </w:rPr>
        <w:t xml:space="preserve">La información en relación con </w:t>
      </w:r>
      <w:r>
        <w:rPr>
          <w:sz w:val="22"/>
          <w:szCs w:val="22"/>
        </w:rPr>
        <w:t>el período medio</w:t>
      </w:r>
      <w:r w:rsidRPr="007B3874">
        <w:rPr>
          <w:sz w:val="22"/>
          <w:szCs w:val="22"/>
        </w:rPr>
        <w:t xml:space="preserve"> de pago a proveedores en operaciones comerciales, es la siguiente:</w:t>
      </w:r>
    </w:p>
    <w:p w14:paraId="19130711" w14:textId="77777777" w:rsidR="00DD0164" w:rsidRPr="009D3778" w:rsidRDefault="00DD0164" w:rsidP="00DD0164">
      <w:pPr>
        <w:pStyle w:val="Textoindependiente"/>
        <w:ind w:left="567"/>
        <w:rPr>
          <w:sz w:val="22"/>
          <w:szCs w:val="22"/>
        </w:rPr>
      </w:pPr>
    </w:p>
    <w:bookmarkStart w:id="120" w:name="_MON_1592113713"/>
    <w:bookmarkEnd w:id="120"/>
    <w:p w14:paraId="0A02E687" w14:textId="62166046" w:rsidR="00DD0164" w:rsidRPr="009D3778" w:rsidRDefault="00702CC7" w:rsidP="00DD0164">
      <w:pPr>
        <w:pStyle w:val="Textoindependiente"/>
        <w:jc w:val="center"/>
        <w:rPr>
          <w:sz w:val="22"/>
          <w:szCs w:val="22"/>
        </w:rPr>
      </w:pPr>
      <w:r w:rsidRPr="005B5EFC">
        <w:rPr>
          <w:rFonts w:ascii="Calibri" w:hAnsi="Calibri"/>
        </w:rPr>
        <w:object w:dxaOrig="7065" w:dyaOrig="2055" w14:anchorId="7142D521">
          <v:shape id="_x0000_i1063" type="#_x0000_t75" style="width:354.75pt;height:103.5pt" o:ole="">
            <v:imagedata r:id="rId86" o:title=""/>
          </v:shape>
          <o:OLEObject Type="Embed" ProgID="Excel.Sheet.8" ShapeID="_x0000_i1063" DrawAspect="Content" ObjectID="_1717427644" r:id="rId87"/>
        </w:object>
      </w:r>
    </w:p>
    <w:p w14:paraId="6F743AEB" w14:textId="77777777" w:rsidR="00853FBE" w:rsidRPr="00AA3748" w:rsidRDefault="00853FBE" w:rsidP="0010573A">
      <w:pPr>
        <w:tabs>
          <w:tab w:val="left" w:pos="-720"/>
        </w:tabs>
        <w:suppressAutoHyphens/>
        <w:jc w:val="both"/>
        <w:rPr>
          <w:rFonts w:cs="Arial"/>
          <w:color w:val="000000"/>
          <w:sz w:val="22"/>
          <w:szCs w:val="22"/>
        </w:rPr>
      </w:pPr>
    </w:p>
    <w:p w14:paraId="0BB2446F" w14:textId="4F2E1F92" w:rsidR="0010573A" w:rsidRDefault="0010573A" w:rsidP="0010573A">
      <w:pPr>
        <w:tabs>
          <w:tab w:val="left" w:pos="-720"/>
        </w:tabs>
        <w:suppressAutoHyphens/>
        <w:jc w:val="both"/>
        <w:rPr>
          <w:rFonts w:ascii="Times New Roman" w:hAnsi="Times New Roman"/>
          <w:spacing w:val="-3"/>
        </w:rPr>
      </w:pPr>
      <w:r>
        <w:rPr>
          <w:rFonts w:ascii="Times New Roman" w:hAnsi="Times New Roman"/>
          <w:spacing w:val="-3"/>
        </w:rPr>
        <w:t xml:space="preserve">En Madrid, a </w:t>
      </w:r>
      <w:r w:rsidR="008A4457">
        <w:rPr>
          <w:rFonts w:ascii="Times New Roman" w:hAnsi="Times New Roman"/>
          <w:spacing w:val="-3"/>
        </w:rPr>
        <w:t>30</w:t>
      </w:r>
      <w:r>
        <w:rPr>
          <w:rFonts w:ascii="Times New Roman" w:hAnsi="Times New Roman"/>
          <w:spacing w:val="-3"/>
        </w:rPr>
        <w:t xml:space="preserve"> de </w:t>
      </w:r>
      <w:r w:rsidR="00B22427">
        <w:rPr>
          <w:rFonts w:ascii="Times New Roman" w:hAnsi="Times New Roman"/>
          <w:spacing w:val="-3"/>
        </w:rPr>
        <w:t>marzo</w:t>
      </w:r>
      <w:r>
        <w:rPr>
          <w:rFonts w:ascii="Times New Roman" w:hAnsi="Times New Roman"/>
          <w:spacing w:val="-3"/>
        </w:rPr>
        <w:t xml:space="preserve"> de </w:t>
      </w:r>
      <w:r w:rsidR="000253BC">
        <w:rPr>
          <w:rFonts w:ascii="Times New Roman" w:hAnsi="Times New Roman"/>
          <w:spacing w:val="-3"/>
        </w:rPr>
        <w:t>2022</w:t>
      </w:r>
      <w:r>
        <w:rPr>
          <w:rFonts w:ascii="Times New Roman" w:hAnsi="Times New Roman"/>
          <w:spacing w:val="-3"/>
        </w:rPr>
        <w:t>.</w:t>
      </w:r>
    </w:p>
    <w:p w14:paraId="50F81EB4" w14:textId="77777777" w:rsidR="0010573A" w:rsidRDefault="0010573A" w:rsidP="0010573A">
      <w:pPr>
        <w:tabs>
          <w:tab w:val="left" w:pos="-720"/>
        </w:tabs>
        <w:suppressAutoHyphens/>
        <w:jc w:val="both"/>
        <w:rPr>
          <w:rFonts w:ascii="Times New Roman" w:hAnsi="Times New Roman"/>
          <w:spacing w:val="-3"/>
        </w:rPr>
      </w:pPr>
    </w:p>
    <w:p w14:paraId="59BECB10" w14:textId="77777777" w:rsidR="0010573A" w:rsidRDefault="0010573A" w:rsidP="0010573A">
      <w:pPr>
        <w:tabs>
          <w:tab w:val="left" w:pos="-720"/>
        </w:tabs>
        <w:suppressAutoHyphens/>
        <w:jc w:val="both"/>
        <w:rPr>
          <w:rFonts w:ascii="Times New Roman" w:hAnsi="Times New Roman"/>
          <w:spacing w:val="-3"/>
        </w:rPr>
      </w:pPr>
      <w:r>
        <w:rPr>
          <w:rFonts w:ascii="Times New Roman" w:hAnsi="Times New Roman"/>
          <w:spacing w:val="-3"/>
        </w:rPr>
        <w:t>Firma la Administradora única:</w:t>
      </w:r>
    </w:p>
    <w:p w14:paraId="6F71878C" w14:textId="77777777" w:rsidR="0010573A" w:rsidRDefault="0010573A" w:rsidP="0010573A">
      <w:pPr>
        <w:tabs>
          <w:tab w:val="left" w:pos="-720"/>
        </w:tabs>
        <w:suppressAutoHyphens/>
        <w:jc w:val="both"/>
        <w:rPr>
          <w:spacing w:val="-3"/>
          <w:sz w:val="16"/>
          <w:szCs w:val="16"/>
        </w:rPr>
      </w:pPr>
    </w:p>
    <w:p w14:paraId="7169F859" w14:textId="77777777" w:rsidR="0010573A" w:rsidRDefault="0010573A" w:rsidP="0010573A">
      <w:pPr>
        <w:tabs>
          <w:tab w:val="left" w:pos="-720"/>
        </w:tabs>
        <w:suppressAutoHyphens/>
        <w:jc w:val="both"/>
        <w:rPr>
          <w:spacing w:val="-3"/>
          <w:sz w:val="16"/>
          <w:szCs w:val="16"/>
        </w:rPr>
      </w:pPr>
    </w:p>
    <w:p w14:paraId="09695D28" w14:textId="77777777" w:rsidR="0010573A" w:rsidRDefault="0010573A" w:rsidP="0010573A">
      <w:pPr>
        <w:tabs>
          <w:tab w:val="left" w:pos="-720"/>
        </w:tabs>
        <w:suppressAutoHyphens/>
        <w:jc w:val="both"/>
        <w:rPr>
          <w:spacing w:val="-3"/>
          <w:sz w:val="16"/>
          <w:szCs w:val="16"/>
        </w:rPr>
      </w:pPr>
    </w:p>
    <w:p w14:paraId="59054D3E" w14:textId="50B55E83" w:rsidR="00853FBE" w:rsidRDefault="0010573A" w:rsidP="0010573A">
      <w:pPr>
        <w:tabs>
          <w:tab w:val="left" w:pos="-720"/>
        </w:tabs>
        <w:suppressAutoHyphens/>
        <w:jc w:val="both"/>
        <w:rPr>
          <w:sz w:val="22"/>
          <w:szCs w:val="22"/>
        </w:rPr>
      </w:pPr>
      <w:r>
        <w:rPr>
          <w:rFonts w:ascii="Times New Roman" w:hAnsi="Times New Roman"/>
          <w:spacing w:val="-3"/>
        </w:rPr>
        <w:t>María Angustias Benítez de Lugo e Ybarra.</w:t>
      </w:r>
    </w:p>
    <w:sectPr w:rsidR="00853FBE" w:rsidSect="00853FBE">
      <w:headerReference w:type="even" r:id="rId88"/>
      <w:headerReference w:type="default" r:id="rId89"/>
      <w:footerReference w:type="even" r:id="rId90"/>
      <w:footerReference w:type="default" r:id="rId91"/>
      <w:headerReference w:type="first" r:id="rId92"/>
      <w:footerReference w:type="first" r:id="rId93"/>
      <w:pgSz w:w="11907" w:h="16839" w:code="9"/>
      <w:pgMar w:top="1478" w:right="1701" w:bottom="567" w:left="1701" w:header="680" w:footer="851"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8F14" w14:textId="77777777" w:rsidR="00A91E6A" w:rsidRDefault="00A91E6A">
      <w:r>
        <w:separator/>
      </w:r>
    </w:p>
  </w:endnote>
  <w:endnote w:type="continuationSeparator" w:id="0">
    <w:p w14:paraId="19A0C5D4" w14:textId="77777777" w:rsidR="00A91E6A" w:rsidRDefault="00A91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C9AC" w14:textId="5B1B49A2" w:rsidR="00A91E6A" w:rsidRDefault="00A91E6A" w:rsidP="00853F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EEC">
      <w:rPr>
        <w:rStyle w:val="Nmerodepgina"/>
        <w:noProof/>
      </w:rPr>
      <w:t>52</w:t>
    </w:r>
    <w:r>
      <w:rPr>
        <w:rStyle w:val="Nmerodepgina"/>
      </w:rPr>
      <w:fldChar w:fldCharType="end"/>
    </w:r>
  </w:p>
  <w:p w14:paraId="38C89870" w14:textId="77777777" w:rsidR="00A91E6A" w:rsidRDefault="00A91E6A" w:rsidP="00853FB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7CD8" w14:textId="77777777" w:rsidR="00A91E6A" w:rsidRDefault="00A91E6A" w:rsidP="00853FBE">
    <w:pPr>
      <w:ind w:right="360"/>
      <w:rPr>
        <w:sz w:val="2"/>
        <w:szCs w:val="2"/>
      </w:rPr>
    </w:pPr>
  </w:p>
  <w:p w14:paraId="23646B5A" w14:textId="77777777" w:rsidR="00A91E6A" w:rsidRDefault="00A91E6A" w:rsidP="00853FBE">
    <w:pPr>
      <w:ind w:right="360"/>
      <w:rPr>
        <w:sz w:val="2"/>
        <w:szCs w:val="2"/>
      </w:rPr>
    </w:pPr>
  </w:p>
  <w:p w14:paraId="5E771012" w14:textId="2A67F887" w:rsidR="00A91E6A" w:rsidRPr="006D19E1" w:rsidRDefault="00A91E6A" w:rsidP="00853FBE">
    <w:pPr>
      <w:pStyle w:val="Piedepgina"/>
      <w:framePr w:wrap="around" w:vAnchor="text" w:hAnchor="margin" w:xAlign="right" w:y="1"/>
      <w:rPr>
        <w:rStyle w:val="Nmerodepgina"/>
      </w:rPr>
    </w:pPr>
    <w:r w:rsidRPr="006D19E1">
      <w:rPr>
        <w:rStyle w:val="Nmerodepgina"/>
        <w:sz w:val="28"/>
      </w:rPr>
      <w:fldChar w:fldCharType="begin"/>
    </w:r>
    <w:r>
      <w:rPr>
        <w:rStyle w:val="Nmerodepgina"/>
        <w:sz w:val="28"/>
      </w:rPr>
      <w:instrText>PAGE</w:instrText>
    </w:r>
    <w:r w:rsidRPr="006D19E1">
      <w:rPr>
        <w:rStyle w:val="Nmerodepgina"/>
        <w:sz w:val="28"/>
      </w:rPr>
      <w:instrText xml:space="preserve">  </w:instrText>
    </w:r>
    <w:r w:rsidRPr="006D19E1">
      <w:rPr>
        <w:rStyle w:val="Nmerodepgina"/>
        <w:sz w:val="28"/>
      </w:rPr>
      <w:fldChar w:fldCharType="separate"/>
    </w:r>
    <w:r w:rsidR="00E11EEC">
      <w:rPr>
        <w:rStyle w:val="Nmerodepgina"/>
        <w:noProof/>
        <w:sz w:val="28"/>
      </w:rPr>
      <w:t>16</w:t>
    </w:r>
    <w:r w:rsidRPr="006D19E1">
      <w:rPr>
        <w:rStyle w:val="Nmerodepgina"/>
        <w:sz w:val="28"/>
      </w:rPr>
      <w:fldChar w:fldCharType="end"/>
    </w:r>
  </w:p>
  <w:tbl>
    <w:tblPr>
      <w:tblW w:w="5000" w:type="pct"/>
      <w:tblLayout w:type="fixed"/>
      <w:tblCellMar>
        <w:left w:w="0" w:type="dxa"/>
        <w:right w:w="0" w:type="dxa"/>
      </w:tblCellMar>
      <w:tblLook w:val="04A0" w:firstRow="1" w:lastRow="0" w:firstColumn="1" w:lastColumn="0" w:noHBand="0" w:noVBand="1"/>
    </w:tblPr>
    <w:tblGrid>
      <w:gridCol w:w="7654"/>
      <w:gridCol w:w="851"/>
    </w:tblGrid>
    <w:tr w:rsidR="00A91E6A" w14:paraId="6B32A9E4" w14:textId="77777777">
      <w:tc>
        <w:tcPr>
          <w:tcW w:w="4500" w:type="pct"/>
          <w:shd w:val="clear" w:color="auto" w:fill="auto"/>
        </w:tcPr>
        <w:p w14:paraId="18B05B1B" w14:textId="7134EAE8" w:rsidR="00A91E6A" w:rsidRPr="00D7294B" w:rsidRDefault="00A91E6A" w:rsidP="00853FBE">
          <w:pPr>
            <w:pStyle w:val="Piedepgina"/>
            <w:ind w:right="360"/>
            <w:rPr>
              <w:sz w:val="20"/>
            </w:rPr>
          </w:pPr>
          <w:r w:rsidRPr="00BB0C33">
            <w:rPr>
              <w:sz w:val="20"/>
            </w:rPr>
            <w:t xml:space="preserve">Cuentas Anuales de Altalay 7 SA, del ejercicio </w:t>
          </w:r>
          <w:r>
            <w:rPr>
              <w:sz w:val="20"/>
            </w:rPr>
            <w:t xml:space="preserve">2021                                                          </w:t>
          </w:r>
        </w:p>
      </w:tc>
      <w:tc>
        <w:tcPr>
          <w:tcW w:w="500" w:type="pct"/>
          <w:shd w:val="clear" w:color="auto" w:fill="auto"/>
        </w:tcPr>
        <w:p w14:paraId="40A3E91C" w14:textId="77777777" w:rsidR="00A91E6A" w:rsidRDefault="00A91E6A" w:rsidP="00853FBE">
          <w:pPr>
            <w:pStyle w:val="Encabezado"/>
          </w:pPr>
          <w:r>
            <w:t xml:space="preserve">          </w:t>
          </w:r>
        </w:p>
      </w:tc>
    </w:tr>
  </w:tbl>
  <w:p w14:paraId="11AC7E0D" w14:textId="77777777" w:rsidR="00A91E6A" w:rsidRDefault="00A91E6A">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8803E" w14:textId="77777777" w:rsidR="00A91E6A" w:rsidRDefault="00A91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0CC2D" w14:textId="77777777" w:rsidR="00A91E6A" w:rsidRDefault="00A91E6A">
      <w:r>
        <w:separator/>
      </w:r>
    </w:p>
  </w:footnote>
  <w:footnote w:type="continuationSeparator" w:id="0">
    <w:p w14:paraId="68F41C72" w14:textId="77777777" w:rsidR="00A91E6A" w:rsidRDefault="00A91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1381" w14:textId="7BFAE3F8" w:rsidR="00A91E6A" w:rsidRDefault="00A91E6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EEC">
      <w:rPr>
        <w:rStyle w:val="Nmerodepgina"/>
        <w:noProof/>
      </w:rPr>
      <w:t>52</w:t>
    </w:r>
    <w:r>
      <w:rPr>
        <w:rStyle w:val="Nmerodepgina"/>
      </w:rPr>
      <w:fldChar w:fldCharType="end"/>
    </w:r>
  </w:p>
  <w:p w14:paraId="5F8CE838" w14:textId="77777777" w:rsidR="00A91E6A" w:rsidRDefault="00A91E6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6792" w14:textId="77777777" w:rsidR="00A91E6A" w:rsidRDefault="00A91E6A">
    <w:pPr>
      <w:ind w:hanging="1276"/>
      <w:jc w:val="center"/>
    </w:pPr>
    <w:r>
      <w:rPr>
        <w:noProof/>
      </w:rPr>
      <w:drawing>
        <wp:anchor distT="0" distB="0" distL="114300" distR="114300" simplePos="0" relativeHeight="251657728" behindDoc="0" locked="0" layoutInCell="1" allowOverlap="1" wp14:anchorId="6C6584FB" wp14:editId="0DAB84E0">
          <wp:simplePos x="0" y="0"/>
          <wp:positionH relativeFrom="column">
            <wp:posOffset>1765300</wp:posOffset>
          </wp:positionH>
          <wp:positionV relativeFrom="paragraph">
            <wp:posOffset>-252730</wp:posOffset>
          </wp:positionV>
          <wp:extent cx="1282700" cy="556895"/>
          <wp:effectExtent l="50800" t="25400" r="12700" b="1905"/>
          <wp:wrapTight wrapText="bothSides">
            <wp:wrapPolygon edited="0">
              <wp:start x="-855" y="-985"/>
              <wp:lineTo x="-855" y="21674"/>
              <wp:lineTo x="21814" y="21674"/>
              <wp:lineTo x="21814" y="-985"/>
              <wp:lineTo x="-855" y="-985"/>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282700" cy="556895"/>
                  </a:xfrm>
                  <a:prstGeom prst="rect">
                    <a:avLst/>
                  </a:prstGeom>
                  <a:noFill/>
                  <a:ln w="12700">
                    <a:solidFill>
                      <a:srgbClr val="FFFFFF"/>
                    </a:solid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E23DE" w14:textId="77777777" w:rsidR="00A91E6A" w:rsidRDefault="00A91E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9760104"/>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singleLevel"/>
    <w:tmpl w:val="4182A540"/>
    <w:lvl w:ilvl="0">
      <w:start w:val="1"/>
      <w:numFmt w:val="decimal"/>
      <w:pStyle w:val="Listaconnmeros"/>
      <w:lvlText w:val="%1."/>
      <w:lvlJc w:val="left"/>
      <w:pPr>
        <w:tabs>
          <w:tab w:val="num" w:pos="786"/>
        </w:tabs>
        <w:ind w:left="786" w:hanging="360"/>
      </w:pPr>
    </w:lvl>
  </w:abstractNum>
  <w:abstractNum w:abstractNumId="2" w15:restartNumberingAfterBreak="0">
    <w:nsid w:val="0174659E"/>
    <w:multiLevelType w:val="hybridMultilevel"/>
    <w:tmpl w:val="79FC34AA"/>
    <w:lvl w:ilvl="0" w:tplc="040A000F">
      <w:start w:val="1"/>
      <w:numFmt w:val="decimal"/>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3" w15:restartNumberingAfterBreak="0">
    <w:nsid w:val="096D5DAC"/>
    <w:multiLevelType w:val="hybridMultilevel"/>
    <w:tmpl w:val="961C3134"/>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4" w15:restartNumberingAfterBreak="0">
    <w:nsid w:val="0A2021E0"/>
    <w:multiLevelType w:val="hybridMultilevel"/>
    <w:tmpl w:val="711CD7F4"/>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15:restartNumberingAfterBreak="0">
    <w:nsid w:val="0A896398"/>
    <w:multiLevelType w:val="hybridMultilevel"/>
    <w:tmpl w:val="7EC49DFC"/>
    <w:lvl w:ilvl="0" w:tplc="040A0017">
      <w:start w:val="1"/>
      <w:numFmt w:val="lowerLetter"/>
      <w:lvlText w:val="%1)"/>
      <w:lvlJc w:val="left"/>
      <w:pPr>
        <w:ind w:left="1424" w:hanging="360"/>
      </w:pPr>
    </w:lvl>
    <w:lvl w:ilvl="1" w:tplc="040A0019" w:tentative="1">
      <w:start w:val="1"/>
      <w:numFmt w:val="lowerLetter"/>
      <w:lvlText w:val="%2."/>
      <w:lvlJc w:val="left"/>
      <w:pPr>
        <w:ind w:left="2144" w:hanging="360"/>
      </w:pPr>
    </w:lvl>
    <w:lvl w:ilvl="2" w:tplc="040A001B" w:tentative="1">
      <w:start w:val="1"/>
      <w:numFmt w:val="lowerRoman"/>
      <w:lvlText w:val="%3."/>
      <w:lvlJc w:val="right"/>
      <w:pPr>
        <w:ind w:left="2864" w:hanging="180"/>
      </w:pPr>
    </w:lvl>
    <w:lvl w:ilvl="3" w:tplc="040A000F" w:tentative="1">
      <w:start w:val="1"/>
      <w:numFmt w:val="decimal"/>
      <w:lvlText w:val="%4."/>
      <w:lvlJc w:val="left"/>
      <w:pPr>
        <w:ind w:left="3584" w:hanging="360"/>
      </w:pPr>
    </w:lvl>
    <w:lvl w:ilvl="4" w:tplc="040A0019" w:tentative="1">
      <w:start w:val="1"/>
      <w:numFmt w:val="lowerLetter"/>
      <w:lvlText w:val="%5."/>
      <w:lvlJc w:val="left"/>
      <w:pPr>
        <w:ind w:left="4304" w:hanging="360"/>
      </w:pPr>
    </w:lvl>
    <w:lvl w:ilvl="5" w:tplc="040A001B" w:tentative="1">
      <w:start w:val="1"/>
      <w:numFmt w:val="lowerRoman"/>
      <w:lvlText w:val="%6."/>
      <w:lvlJc w:val="right"/>
      <w:pPr>
        <w:ind w:left="5024" w:hanging="180"/>
      </w:pPr>
    </w:lvl>
    <w:lvl w:ilvl="6" w:tplc="040A000F" w:tentative="1">
      <w:start w:val="1"/>
      <w:numFmt w:val="decimal"/>
      <w:lvlText w:val="%7."/>
      <w:lvlJc w:val="left"/>
      <w:pPr>
        <w:ind w:left="5744" w:hanging="360"/>
      </w:pPr>
    </w:lvl>
    <w:lvl w:ilvl="7" w:tplc="040A0019" w:tentative="1">
      <w:start w:val="1"/>
      <w:numFmt w:val="lowerLetter"/>
      <w:lvlText w:val="%8."/>
      <w:lvlJc w:val="left"/>
      <w:pPr>
        <w:ind w:left="6464" w:hanging="360"/>
      </w:pPr>
    </w:lvl>
    <w:lvl w:ilvl="8" w:tplc="040A001B" w:tentative="1">
      <w:start w:val="1"/>
      <w:numFmt w:val="lowerRoman"/>
      <w:lvlText w:val="%9."/>
      <w:lvlJc w:val="right"/>
      <w:pPr>
        <w:ind w:left="7184" w:hanging="180"/>
      </w:pPr>
    </w:lvl>
  </w:abstractNum>
  <w:abstractNum w:abstractNumId="6" w15:restartNumberingAfterBreak="0">
    <w:nsid w:val="13252323"/>
    <w:multiLevelType w:val="hybridMultilevel"/>
    <w:tmpl w:val="3E3AB824"/>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7" w15:restartNumberingAfterBreak="0">
    <w:nsid w:val="14496D43"/>
    <w:multiLevelType w:val="hybridMultilevel"/>
    <w:tmpl w:val="F93C274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6A73E79"/>
    <w:multiLevelType w:val="hybridMultilevel"/>
    <w:tmpl w:val="D542E9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6C652D1"/>
    <w:multiLevelType w:val="hybridMultilevel"/>
    <w:tmpl w:val="7EC49DFC"/>
    <w:lvl w:ilvl="0" w:tplc="040A0017">
      <w:start w:val="1"/>
      <w:numFmt w:val="lowerLetter"/>
      <w:lvlText w:val="%1)"/>
      <w:lvlJc w:val="left"/>
      <w:pPr>
        <w:ind w:left="1424" w:hanging="360"/>
      </w:pPr>
    </w:lvl>
    <w:lvl w:ilvl="1" w:tplc="040A0019" w:tentative="1">
      <w:start w:val="1"/>
      <w:numFmt w:val="lowerLetter"/>
      <w:lvlText w:val="%2."/>
      <w:lvlJc w:val="left"/>
      <w:pPr>
        <w:ind w:left="2144" w:hanging="360"/>
      </w:pPr>
    </w:lvl>
    <w:lvl w:ilvl="2" w:tplc="040A001B" w:tentative="1">
      <w:start w:val="1"/>
      <w:numFmt w:val="lowerRoman"/>
      <w:lvlText w:val="%3."/>
      <w:lvlJc w:val="right"/>
      <w:pPr>
        <w:ind w:left="2864" w:hanging="180"/>
      </w:pPr>
    </w:lvl>
    <w:lvl w:ilvl="3" w:tplc="040A000F" w:tentative="1">
      <w:start w:val="1"/>
      <w:numFmt w:val="decimal"/>
      <w:lvlText w:val="%4."/>
      <w:lvlJc w:val="left"/>
      <w:pPr>
        <w:ind w:left="3584" w:hanging="360"/>
      </w:pPr>
    </w:lvl>
    <w:lvl w:ilvl="4" w:tplc="040A0019" w:tentative="1">
      <w:start w:val="1"/>
      <w:numFmt w:val="lowerLetter"/>
      <w:lvlText w:val="%5."/>
      <w:lvlJc w:val="left"/>
      <w:pPr>
        <w:ind w:left="4304" w:hanging="360"/>
      </w:pPr>
    </w:lvl>
    <w:lvl w:ilvl="5" w:tplc="040A001B" w:tentative="1">
      <w:start w:val="1"/>
      <w:numFmt w:val="lowerRoman"/>
      <w:lvlText w:val="%6."/>
      <w:lvlJc w:val="right"/>
      <w:pPr>
        <w:ind w:left="5024" w:hanging="180"/>
      </w:pPr>
    </w:lvl>
    <w:lvl w:ilvl="6" w:tplc="040A000F" w:tentative="1">
      <w:start w:val="1"/>
      <w:numFmt w:val="decimal"/>
      <w:lvlText w:val="%7."/>
      <w:lvlJc w:val="left"/>
      <w:pPr>
        <w:ind w:left="5744" w:hanging="360"/>
      </w:pPr>
    </w:lvl>
    <w:lvl w:ilvl="7" w:tplc="040A0019" w:tentative="1">
      <w:start w:val="1"/>
      <w:numFmt w:val="lowerLetter"/>
      <w:lvlText w:val="%8."/>
      <w:lvlJc w:val="left"/>
      <w:pPr>
        <w:ind w:left="6464" w:hanging="360"/>
      </w:pPr>
    </w:lvl>
    <w:lvl w:ilvl="8" w:tplc="040A001B" w:tentative="1">
      <w:start w:val="1"/>
      <w:numFmt w:val="lowerRoman"/>
      <w:lvlText w:val="%9."/>
      <w:lvlJc w:val="right"/>
      <w:pPr>
        <w:ind w:left="7184" w:hanging="180"/>
      </w:pPr>
    </w:lvl>
  </w:abstractNum>
  <w:abstractNum w:abstractNumId="10" w15:restartNumberingAfterBreak="0">
    <w:nsid w:val="1B4A2CE0"/>
    <w:multiLevelType w:val="hybridMultilevel"/>
    <w:tmpl w:val="8988BBBE"/>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11" w15:restartNumberingAfterBreak="0">
    <w:nsid w:val="1FAC51DB"/>
    <w:multiLevelType w:val="hybridMultilevel"/>
    <w:tmpl w:val="198A1ADE"/>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12" w15:restartNumberingAfterBreak="0">
    <w:nsid w:val="23EE1F19"/>
    <w:multiLevelType w:val="hybridMultilevel"/>
    <w:tmpl w:val="972AC0E4"/>
    <w:lvl w:ilvl="0" w:tplc="0C0A0001">
      <w:start w:val="1"/>
      <w:numFmt w:val="bullet"/>
      <w:lvlText w:val=""/>
      <w:lvlJc w:val="left"/>
      <w:pPr>
        <w:tabs>
          <w:tab w:val="num" w:pos="1995"/>
        </w:tabs>
        <w:ind w:left="1995"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Times"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Times"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Times"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27036A1F"/>
    <w:multiLevelType w:val="hybridMultilevel"/>
    <w:tmpl w:val="E39A4EA8"/>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14" w15:restartNumberingAfterBreak="0">
    <w:nsid w:val="2CA57EA6"/>
    <w:multiLevelType w:val="hybridMultilevel"/>
    <w:tmpl w:val="DC86A2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67C662E"/>
    <w:multiLevelType w:val="multilevel"/>
    <w:tmpl w:val="AA0C00BA"/>
    <w:lvl w:ilvl="0">
      <w:start w:val="1"/>
      <w:numFmt w:val="decimal"/>
      <w:lvlText w:val="%1."/>
      <w:lvlJc w:val="left"/>
      <w:pPr>
        <w:ind w:left="1424" w:hanging="360"/>
      </w:pPr>
    </w:lvl>
    <w:lvl w:ilvl="1">
      <w:start w:val="1"/>
      <w:numFmt w:val="lowerLetter"/>
      <w:lvlText w:val="%2."/>
      <w:lvlJc w:val="left"/>
      <w:pPr>
        <w:ind w:left="2144" w:hanging="360"/>
      </w:pPr>
    </w:lvl>
    <w:lvl w:ilvl="2">
      <w:start w:val="1"/>
      <w:numFmt w:val="lowerRoman"/>
      <w:lvlText w:val="%3."/>
      <w:lvlJc w:val="right"/>
      <w:pPr>
        <w:ind w:left="2864" w:hanging="180"/>
      </w:pPr>
    </w:lvl>
    <w:lvl w:ilvl="3">
      <w:start w:val="1"/>
      <w:numFmt w:val="decimal"/>
      <w:lvlText w:val="%4."/>
      <w:lvlJc w:val="left"/>
      <w:pPr>
        <w:ind w:left="3584" w:hanging="360"/>
      </w:pPr>
    </w:lvl>
    <w:lvl w:ilvl="4">
      <w:start w:val="1"/>
      <w:numFmt w:val="lowerLetter"/>
      <w:lvlText w:val="%5."/>
      <w:lvlJc w:val="left"/>
      <w:pPr>
        <w:ind w:left="4304" w:hanging="360"/>
      </w:pPr>
    </w:lvl>
    <w:lvl w:ilvl="5">
      <w:start w:val="1"/>
      <w:numFmt w:val="lowerRoman"/>
      <w:lvlText w:val="%6."/>
      <w:lvlJc w:val="right"/>
      <w:pPr>
        <w:ind w:left="5024" w:hanging="180"/>
      </w:pPr>
    </w:lvl>
    <w:lvl w:ilvl="6">
      <w:start w:val="1"/>
      <w:numFmt w:val="decimal"/>
      <w:lvlText w:val="%7."/>
      <w:lvlJc w:val="left"/>
      <w:pPr>
        <w:ind w:left="5744" w:hanging="360"/>
      </w:pPr>
    </w:lvl>
    <w:lvl w:ilvl="7">
      <w:start w:val="1"/>
      <w:numFmt w:val="lowerLetter"/>
      <w:lvlText w:val="%8."/>
      <w:lvlJc w:val="left"/>
      <w:pPr>
        <w:ind w:left="6464" w:hanging="360"/>
      </w:pPr>
    </w:lvl>
    <w:lvl w:ilvl="8">
      <w:start w:val="1"/>
      <w:numFmt w:val="lowerRoman"/>
      <w:lvlText w:val="%9."/>
      <w:lvlJc w:val="right"/>
      <w:pPr>
        <w:ind w:left="7184" w:hanging="180"/>
      </w:pPr>
    </w:lvl>
  </w:abstractNum>
  <w:abstractNum w:abstractNumId="16" w15:restartNumberingAfterBreak="0">
    <w:nsid w:val="3E56359B"/>
    <w:multiLevelType w:val="hybridMultilevel"/>
    <w:tmpl w:val="8672502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413B3FE8"/>
    <w:multiLevelType w:val="hybridMultilevel"/>
    <w:tmpl w:val="E31AFFE4"/>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18" w15:restartNumberingAfterBreak="0">
    <w:nsid w:val="416C0FAB"/>
    <w:multiLevelType w:val="hybridMultilevel"/>
    <w:tmpl w:val="798A0888"/>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19" w15:restartNumberingAfterBreak="0">
    <w:nsid w:val="421C6618"/>
    <w:multiLevelType w:val="hybridMultilevel"/>
    <w:tmpl w:val="ED70863A"/>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20" w15:restartNumberingAfterBreak="0">
    <w:nsid w:val="44B218CA"/>
    <w:multiLevelType w:val="hybridMultilevel"/>
    <w:tmpl w:val="AF8E54AE"/>
    <w:lvl w:ilvl="0" w:tplc="0C0A000F">
      <w:start w:val="1"/>
      <w:numFmt w:val="decimal"/>
      <w:lvlText w:val="%1."/>
      <w:lvlJc w:val="left"/>
      <w:pPr>
        <w:ind w:left="1485" w:hanging="360"/>
      </w:p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21" w15:restartNumberingAfterBreak="0">
    <w:nsid w:val="46766B59"/>
    <w:multiLevelType w:val="hybridMultilevel"/>
    <w:tmpl w:val="F9E684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74075D"/>
    <w:multiLevelType w:val="hybridMultilevel"/>
    <w:tmpl w:val="71C4F4A6"/>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1353"/>
        </w:tabs>
        <w:ind w:left="1353" w:hanging="360"/>
      </w:pPr>
      <w:rPr>
        <w:rFonts w:ascii="Courier New" w:hAnsi="Courier New" w:cs="Times"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Times"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Times"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03E1D43"/>
    <w:multiLevelType w:val="hybridMultilevel"/>
    <w:tmpl w:val="7B18C632"/>
    <w:lvl w:ilvl="0" w:tplc="0C0A0017">
      <w:start w:val="1"/>
      <w:numFmt w:val="lowerLetter"/>
      <w:lvlText w:val="%1)"/>
      <w:lvlJc w:val="left"/>
      <w:pPr>
        <w:tabs>
          <w:tab w:val="num" w:pos="1070"/>
        </w:tabs>
        <w:ind w:left="1070" w:hanging="360"/>
      </w:pPr>
      <w:rPr>
        <w:rFonts w:hint="default"/>
      </w:rPr>
    </w:lvl>
    <w:lvl w:ilvl="1" w:tplc="040A0019" w:tentative="1">
      <w:start w:val="1"/>
      <w:numFmt w:val="lowerLetter"/>
      <w:lvlText w:val="%2."/>
      <w:lvlJc w:val="left"/>
      <w:pPr>
        <w:ind w:left="1571" w:hanging="360"/>
      </w:pPr>
    </w:lvl>
    <w:lvl w:ilvl="2" w:tplc="040A001B" w:tentative="1">
      <w:start w:val="1"/>
      <w:numFmt w:val="lowerRoman"/>
      <w:lvlText w:val="%3."/>
      <w:lvlJc w:val="right"/>
      <w:pPr>
        <w:ind w:left="2291" w:hanging="180"/>
      </w:pPr>
    </w:lvl>
    <w:lvl w:ilvl="3" w:tplc="040A000F" w:tentative="1">
      <w:start w:val="1"/>
      <w:numFmt w:val="decimal"/>
      <w:lvlText w:val="%4."/>
      <w:lvlJc w:val="left"/>
      <w:pPr>
        <w:ind w:left="3011" w:hanging="360"/>
      </w:pPr>
    </w:lvl>
    <w:lvl w:ilvl="4" w:tplc="040A0019" w:tentative="1">
      <w:start w:val="1"/>
      <w:numFmt w:val="lowerLetter"/>
      <w:lvlText w:val="%5."/>
      <w:lvlJc w:val="left"/>
      <w:pPr>
        <w:ind w:left="3731" w:hanging="360"/>
      </w:pPr>
    </w:lvl>
    <w:lvl w:ilvl="5" w:tplc="040A001B" w:tentative="1">
      <w:start w:val="1"/>
      <w:numFmt w:val="lowerRoman"/>
      <w:lvlText w:val="%6."/>
      <w:lvlJc w:val="right"/>
      <w:pPr>
        <w:ind w:left="4451" w:hanging="180"/>
      </w:pPr>
    </w:lvl>
    <w:lvl w:ilvl="6" w:tplc="040A000F" w:tentative="1">
      <w:start w:val="1"/>
      <w:numFmt w:val="decimal"/>
      <w:lvlText w:val="%7."/>
      <w:lvlJc w:val="left"/>
      <w:pPr>
        <w:ind w:left="5171" w:hanging="360"/>
      </w:pPr>
    </w:lvl>
    <w:lvl w:ilvl="7" w:tplc="040A0019" w:tentative="1">
      <w:start w:val="1"/>
      <w:numFmt w:val="lowerLetter"/>
      <w:lvlText w:val="%8."/>
      <w:lvlJc w:val="left"/>
      <w:pPr>
        <w:ind w:left="5891" w:hanging="360"/>
      </w:pPr>
    </w:lvl>
    <w:lvl w:ilvl="8" w:tplc="040A001B" w:tentative="1">
      <w:start w:val="1"/>
      <w:numFmt w:val="lowerRoman"/>
      <w:lvlText w:val="%9."/>
      <w:lvlJc w:val="right"/>
      <w:pPr>
        <w:ind w:left="6611" w:hanging="180"/>
      </w:pPr>
    </w:lvl>
  </w:abstractNum>
  <w:abstractNum w:abstractNumId="24" w15:restartNumberingAfterBreak="0">
    <w:nsid w:val="52A43593"/>
    <w:multiLevelType w:val="hybridMultilevel"/>
    <w:tmpl w:val="0A1E7D20"/>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25" w15:restartNumberingAfterBreak="0">
    <w:nsid w:val="542F538F"/>
    <w:multiLevelType w:val="hybridMultilevel"/>
    <w:tmpl w:val="CD1A09A2"/>
    <w:lvl w:ilvl="0" w:tplc="19264DB8">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Time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ime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ime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731A84"/>
    <w:multiLevelType w:val="hybridMultilevel"/>
    <w:tmpl w:val="EB2ECAB4"/>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27" w15:restartNumberingAfterBreak="0">
    <w:nsid w:val="59543F22"/>
    <w:multiLevelType w:val="hybridMultilevel"/>
    <w:tmpl w:val="887EB2AA"/>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28" w15:restartNumberingAfterBreak="0">
    <w:nsid w:val="59D75F30"/>
    <w:multiLevelType w:val="hybridMultilevel"/>
    <w:tmpl w:val="F8A8F996"/>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29" w15:restartNumberingAfterBreak="0">
    <w:nsid w:val="5A9C4EB4"/>
    <w:multiLevelType w:val="hybridMultilevel"/>
    <w:tmpl w:val="1666B100"/>
    <w:lvl w:ilvl="0" w:tplc="0C0A0017">
      <w:start w:val="1"/>
      <w:numFmt w:val="lowerLetter"/>
      <w:pStyle w:val="Listaconnmeros3"/>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 w15:restartNumberingAfterBreak="0">
    <w:nsid w:val="5F1C009D"/>
    <w:multiLevelType w:val="hybridMultilevel"/>
    <w:tmpl w:val="6E6C842E"/>
    <w:lvl w:ilvl="0" w:tplc="19264DB8">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Time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Time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Time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F12D5"/>
    <w:multiLevelType w:val="hybridMultilevel"/>
    <w:tmpl w:val="ECE6F5C0"/>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1070"/>
        </w:tabs>
        <w:ind w:left="1070" w:hanging="360"/>
      </w:pPr>
      <w:rPr>
        <w:rFonts w:hint="default"/>
      </w:rPr>
    </w:lvl>
    <w:lvl w:ilvl="2" w:tplc="0C0A0005">
      <w:start w:val="1"/>
      <w:numFmt w:val="bullet"/>
      <w:lvlText w:val=""/>
      <w:lvlJc w:val="left"/>
      <w:pPr>
        <w:tabs>
          <w:tab w:val="num" w:pos="928"/>
        </w:tabs>
        <w:ind w:left="928" w:hanging="360"/>
      </w:pPr>
      <w:rPr>
        <w:rFonts w:ascii="Wingdings" w:hAnsi="Wingdings"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32" w15:restartNumberingAfterBreak="0">
    <w:nsid w:val="607522B6"/>
    <w:multiLevelType w:val="hybridMultilevel"/>
    <w:tmpl w:val="BE2C3A5C"/>
    <w:lvl w:ilvl="0" w:tplc="C51C60AA">
      <w:start w:val="1"/>
      <w:numFmt w:val="bullet"/>
      <w:lvlText w:val=""/>
      <w:lvlJc w:val="left"/>
      <w:pPr>
        <w:tabs>
          <w:tab w:val="num" w:pos="1428"/>
        </w:tabs>
        <w:ind w:left="142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Time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Time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Time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E21DB7"/>
    <w:multiLevelType w:val="hybridMultilevel"/>
    <w:tmpl w:val="493C0B5A"/>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34" w15:restartNumberingAfterBreak="0">
    <w:nsid w:val="64044B06"/>
    <w:multiLevelType w:val="hybridMultilevel"/>
    <w:tmpl w:val="DA44EE98"/>
    <w:lvl w:ilvl="0" w:tplc="19264DB8">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Time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ime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ime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4C241DC"/>
    <w:multiLevelType w:val="hybridMultilevel"/>
    <w:tmpl w:val="B138505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6" w15:restartNumberingAfterBreak="0">
    <w:nsid w:val="65647EEE"/>
    <w:multiLevelType w:val="hybridMultilevel"/>
    <w:tmpl w:val="9F20004E"/>
    <w:lvl w:ilvl="0" w:tplc="19264DB8">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Times"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Times"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Times"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65AE02F2"/>
    <w:multiLevelType w:val="hybridMultilevel"/>
    <w:tmpl w:val="78DE6F46"/>
    <w:lvl w:ilvl="0" w:tplc="19264DB8">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Times"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Times"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Times"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8" w15:restartNumberingAfterBreak="0">
    <w:nsid w:val="685A15CF"/>
    <w:multiLevelType w:val="hybridMultilevel"/>
    <w:tmpl w:val="A0C8B110"/>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39" w15:restartNumberingAfterBreak="0">
    <w:nsid w:val="69DB4A74"/>
    <w:multiLevelType w:val="hybridMultilevel"/>
    <w:tmpl w:val="2BF4A61C"/>
    <w:lvl w:ilvl="0" w:tplc="E0E41CF4">
      <w:start w:val="1"/>
      <w:numFmt w:val="upperRoman"/>
      <w:lvlText w:val="%1."/>
      <w:lvlJc w:val="center"/>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6A3A6E8E"/>
    <w:multiLevelType w:val="hybridMultilevel"/>
    <w:tmpl w:val="2A789F9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1" w15:restartNumberingAfterBreak="0">
    <w:nsid w:val="6B0146E1"/>
    <w:multiLevelType w:val="hybridMultilevel"/>
    <w:tmpl w:val="D674A1BE"/>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42" w15:restartNumberingAfterBreak="0">
    <w:nsid w:val="6C5B27E8"/>
    <w:multiLevelType w:val="hybridMultilevel"/>
    <w:tmpl w:val="398ABCD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3" w15:restartNumberingAfterBreak="0">
    <w:nsid w:val="6CAA1617"/>
    <w:multiLevelType w:val="multilevel"/>
    <w:tmpl w:val="DBACDA28"/>
    <w:lvl w:ilvl="0">
      <w:start w:val="1"/>
      <w:numFmt w:val="bullet"/>
      <w:lvlText w:val=""/>
      <w:lvlJc w:val="left"/>
      <w:pPr>
        <w:tabs>
          <w:tab w:val="num" w:pos="927"/>
        </w:tabs>
        <w:ind w:left="927" w:hanging="360"/>
      </w:pPr>
      <w:rPr>
        <w:rFonts w:ascii="Symbol" w:hAnsi="Symbol" w:hint="default"/>
      </w:rPr>
    </w:lvl>
    <w:lvl w:ilvl="1">
      <w:start w:val="1"/>
      <w:numFmt w:val="lowerLetter"/>
      <w:lvlText w:val="%2)"/>
      <w:lvlJc w:val="left"/>
      <w:pPr>
        <w:tabs>
          <w:tab w:val="num" w:pos="939"/>
        </w:tabs>
        <w:ind w:left="939" w:hanging="360"/>
      </w:pPr>
      <w:rPr>
        <w:rFonts w:hint="default"/>
      </w:rPr>
    </w:lvl>
    <w:lvl w:ilvl="2">
      <w:start w:val="1"/>
      <w:numFmt w:val="bullet"/>
      <w:lvlText w:val=""/>
      <w:lvlJc w:val="left"/>
      <w:pPr>
        <w:tabs>
          <w:tab w:val="num" w:pos="1659"/>
        </w:tabs>
        <w:ind w:left="1659" w:hanging="360"/>
      </w:pPr>
      <w:rPr>
        <w:rFonts w:ascii="Wingdings" w:hAnsi="Wingdings" w:hint="default"/>
      </w:rPr>
    </w:lvl>
    <w:lvl w:ilvl="3">
      <w:start w:val="1"/>
      <w:numFmt w:val="bullet"/>
      <w:lvlText w:val=""/>
      <w:lvlJc w:val="left"/>
      <w:pPr>
        <w:tabs>
          <w:tab w:val="num" w:pos="2379"/>
        </w:tabs>
        <w:ind w:left="2379" w:hanging="360"/>
      </w:pPr>
      <w:rPr>
        <w:rFonts w:ascii="Symbol" w:hAnsi="Symbol" w:hint="default"/>
      </w:rPr>
    </w:lvl>
    <w:lvl w:ilvl="4">
      <w:start w:val="1"/>
      <w:numFmt w:val="bullet"/>
      <w:lvlText w:val="o"/>
      <w:lvlJc w:val="left"/>
      <w:pPr>
        <w:tabs>
          <w:tab w:val="num" w:pos="3099"/>
        </w:tabs>
        <w:ind w:left="3099" w:hanging="360"/>
      </w:pPr>
      <w:rPr>
        <w:rFonts w:ascii="Courier New" w:hAnsi="Courier New" w:cs="Times" w:hint="default"/>
      </w:rPr>
    </w:lvl>
    <w:lvl w:ilvl="5">
      <w:start w:val="1"/>
      <w:numFmt w:val="bullet"/>
      <w:lvlText w:val=""/>
      <w:lvlJc w:val="left"/>
      <w:pPr>
        <w:tabs>
          <w:tab w:val="num" w:pos="3819"/>
        </w:tabs>
        <w:ind w:left="3819" w:hanging="360"/>
      </w:pPr>
      <w:rPr>
        <w:rFonts w:ascii="Wingdings" w:hAnsi="Wingdings" w:hint="default"/>
      </w:rPr>
    </w:lvl>
    <w:lvl w:ilvl="6">
      <w:start w:val="1"/>
      <w:numFmt w:val="bullet"/>
      <w:lvlText w:val=""/>
      <w:lvlJc w:val="left"/>
      <w:pPr>
        <w:tabs>
          <w:tab w:val="num" w:pos="4539"/>
        </w:tabs>
        <w:ind w:left="4539" w:hanging="360"/>
      </w:pPr>
      <w:rPr>
        <w:rFonts w:ascii="Symbol" w:hAnsi="Symbol" w:hint="default"/>
      </w:rPr>
    </w:lvl>
    <w:lvl w:ilvl="7">
      <w:start w:val="1"/>
      <w:numFmt w:val="bullet"/>
      <w:lvlText w:val="o"/>
      <w:lvlJc w:val="left"/>
      <w:pPr>
        <w:tabs>
          <w:tab w:val="num" w:pos="5259"/>
        </w:tabs>
        <w:ind w:left="5259" w:hanging="360"/>
      </w:pPr>
      <w:rPr>
        <w:rFonts w:ascii="Courier New" w:hAnsi="Courier New" w:cs="Times" w:hint="default"/>
      </w:rPr>
    </w:lvl>
    <w:lvl w:ilvl="8">
      <w:start w:val="1"/>
      <w:numFmt w:val="bullet"/>
      <w:lvlText w:val=""/>
      <w:lvlJc w:val="left"/>
      <w:pPr>
        <w:tabs>
          <w:tab w:val="num" w:pos="5979"/>
        </w:tabs>
        <w:ind w:left="5979" w:hanging="360"/>
      </w:pPr>
      <w:rPr>
        <w:rFonts w:ascii="Wingdings" w:hAnsi="Wingdings" w:hint="default"/>
      </w:rPr>
    </w:lvl>
  </w:abstractNum>
  <w:abstractNum w:abstractNumId="44" w15:restartNumberingAfterBreak="0">
    <w:nsid w:val="6CC04C00"/>
    <w:multiLevelType w:val="hybridMultilevel"/>
    <w:tmpl w:val="AABEC17C"/>
    <w:lvl w:ilvl="0" w:tplc="19264DB8">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Times"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Times"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Times"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711F12E7"/>
    <w:multiLevelType w:val="multilevel"/>
    <w:tmpl w:val="ECE6F5C0"/>
    <w:lvl w:ilvl="0">
      <w:start w:val="1"/>
      <w:numFmt w:val="bullet"/>
      <w:lvlText w:val=""/>
      <w:lvlJc w:val="left"/>
      <w:pPr>
        <w:tabs>
          <w:tab w:val="num" w:pos="927"/>
        </w:tabs>
        <w:ind w:left="927" w:hanging="360"/>
      </w:pPr>
      <w:rPr>
        <w:rFonts w:ascii="Symbol" w:hAnsi="Symbol" w:hint="default"/>
      </w:rPr>
    </w:lvl>
    <w:lvl w:ilvl="1">
      <w:start w:val="1"/>
      <w:numFmt w:val="lowerLetter"/>
      <w:lvlText w:val="%2)"/>
      <w:lvlJc w:val="left"/>
      <w:pPr>
        <w:tabs>
          <w:tab w:val="num" w:pos="939"/>
        </w:tabs>
        <w:ind w:left="939" w:hanging="360"/>
      </w:pPr>
      <w:rPr>
        <w:rFonts w:hint="default"/>
      </w:rPr>
    </w:lvl>
    <w:lvl w:ilvl="2">
      <w:start w:val="1"/>
      <w:numFmt w:val="bullet"/>
      <w:lvlText w:val=""/>
      <w:lvlJc w:val="left"/>
      <w:pPr>
        <w:tabs>
          <w:tab w:val="num" w:pos="928"/>
        </w:tabs>
        <w:ind w:left="928" w:hanging="360"/>
      </w:pPr>
      <w:rPr>
        <w:rFonts w:ascii="Wingdings" w:hAnsi="Wingdings" w:hint="default"/>
      </w:rPr>
    </w:lvl>
    <w:lvl w:ilvl="3">
      <w:start w:val="1"/>
      <w:numFmt w:val="bullet"/>
      <w:lvlText w:val=""/>
      <w:lvlJc w:val="left"/>
      <w:pPr>
        <w:tabs>
          <w:tab w:val="num" w:pos="2379"/>
        </w:tabs>
        <w:ind w:left="2379" w:hanging="360"/>
      </w:pPr>
      <w:rPr>
        <w:rFonts w:ascii="Symbol" w:hAnsi="Symbol" w:hint="default"/>
      </w:rPr>
    </w:lvl>
    <w:lvl w:ilvl="4">
      <w:start w:val="1"/>
      <w:numFmt w:val="bullet"/>
      <w:lvlText w:val="o"/>
      <w:lvlJc w:val="left"/>
      <w:pPr>
        <w:tabs>
          <w:tab w:val="num" w:pos="3099"/>
        </w:tabs>
        <w:ind w:left="3099" w:hanging="360"/>
      </w:pPr>
      <w:rPr>
        <w:rFonts w:ascii="Courier New" w:hAnsi="Courier New" w:cs="Times" w:hint="default"/>
      </w:rPr>
    </w:lvl>
    <w:lvl w:ilvl="5">
      <w:start w:val="1"/>
      <w:numFmt w:val="bullet"/>
      <w:lvlText w:val=""/>
      <w:lvlJc w:val="left"/>
      <w:pPr>
        <w:tabs>
          <w:tab w:val="num" w:pos="3819"/>
        </w:tabs>
        <w:ind w:left="3819" w:hanging="360"/>
      </w:pPr>
      <w:rPr>
        <w:rFonts w:ascii="Wingdings" w:hAnsi="Wingdings" w:hint="default"/>
      </w:rPr>
    </w:lvl>
    <w:lvl w:ilvl="6">
      <w:start w:val="1"/>
      <w:numFmt w:val="bullet"/>
      <w:lvlText w:val=""/>
      <w:lvlJc w:val="left"/>
      <w:pPr>
        <w:tabs>
          <w:tab w:val="num" w:pos="4539"/>
        </w:tabs>
        <w:ind w:left="4539" w:hanging="360"/>
      </w:pPr>
      <w:rPr>
        <w:rFonts w:ascii="Symbol" w:hAnsi="Symbol" w:hint="default"/>
      </w:rPr>
    </w:lvl>
    <w:lvl w:ilvl="7">
      <w:start w:val="1"/>
      <w:numFmt w:val="bullet"/>
      <w:lvlText w:val="o"/>
      <w:lvlJc w:val="left"/>
      <w:pPr>
        <w:tabs>
          <w:tab w:val="num" w:pos="5259"/>
        </w:tabs>
        <w:ind w:left="5259" w:hanging="360"/>
      </w:pPr>
      <w:rPr>
        <w:rFonts w:ascii="Courier New" w:hAnsi="Courier New" w:cs="Times" w:hint="default"/>
      </w:rPr>
    </w:lvl>
    <w:lvl w:ilvl="8">
      <w:start w:val="1"/>
      <w:numFmt w:val="bullet"/>
      <w:lvlText w:val=""/>
      <w:lvlJc w:val="left"/>
      <w:pPr>
        <w:tabs>
          <w:tab w:val="num" w:pos="5979"/>
        </w:tabs>
        <w:ind w:left="5979" w:hanging="360"/>
      </w:pPr>
      <w:rPr>
        <w:rFonts w:ascii="Wingdings" w:hAnsi="Wingdings" w:hint="default"/>
      </w:rPr>
    </w:lvl>
  </w:abstractNum>
  <w:abstractNum w:abstractNumId="46" w15:restartNumberingAfterBreak="0">
    <w:nsid w:val="72F86B45"/>
    <w:multiLevelType w:val="hybridMultilevel"/>
    <w:tmpl w:val="C8227342"/>
    <w:lvl w:ilvl="0" w:tplc="93A0CBF4">
      <w:numFmt w:val="bullet"/>
      <w:lvlText w:val="-"/>
      <w:lvlJc w:val="left"/>
      <w:pPr>
        <w:ind w:left="720" w:hanging="360"/>
      </w:pPr>
      <w:rPr>
        <w:rFonts w:ascii="Arial" w:eastAsia="Times New Roman" w:hAnsi="Arial" w:cs="Times" w:hint="default"/>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7D62EB8"/>
    <w:multiLevelType w:val="hybridMultilevel"/>
    <w:tmpl w:val="FE9EC19A"/>
    <w:lvl w:ilvl="0" w:tplc="0C0A0001">
      <w:start w:val="1"/>
      <w:numFmt w:val="bullet"/>
      <w:lvlText w:val=""/>
      <w:lvlJc w:val="left"/>
      <w:pPr>
        <w:tabs>
          <w:tab w:val="num" w:pos="927"/>
        </w:tabs>
        <w:ind w:left="927" w:hanging="360"/>
      </w:pPr>
      <w:rPr>
        <w:rFonts w:ascii="Symbol" w:hAnsi="Symbol" w:hint="default"/>
      </w:rPr>
    </w:lvl>
    <w:lvl w:ilvl="1" w:tplc="0C0A0017">
      <w:start w:val="1"/>
      <w:numFmt w:val="lowerLetter"/>
      <w:lvlText w:val="%2)"/>
      <w:lvlJc w:val="left"/>
      <w:pPr>
        <w:tabs>
          <w:tab w:val="num" w:pos="939"/>
        </w:tabs>
        <w:ind w:left="939" w:hanging="360"/>
      </w:pPr>
      <w:rPr>
        <w:rFonts w:hint="default"/>
      </w:rPr>
    </w:lvl>
    <w:lvl w:ilvl="2" w:tplc="19264DB8">
      <w:start w:val="1"/>
      <w:numFmt w:val="bullet"/>
      <w:lvlText w:val=""/>
      <w:lvlJc w:val="left"/>
      <w:pPr>
        <w:tabs>
          <w:tab w:val="num" w:pos="1659"/>
        </w:tabs>
        <w:ind w:left="1659" w:hanging="360"/>
      </w:pPr>
      <w:rPr>
        <w:rFonts w:ascii="Symbol" w:hAnsi="Symbol" w:hint="default"/>
      </w:rPr>
    </w:lvl>
    <w:lvl w:ilvl="3" w:tplc="0C0A0001">
      <w:start w:val="1"/>
      <w:numFmt w:val="bullet"/>
      <w:lvlText w:val=""/>
      <w:lvlJc w:val="left"/>
      <w:pPr>
        <w:tabs>
          <w:tab w:val="num" w:pos="2379"/>
        </w:tabs>
        <w:ind w:left="2379" w:hanging="360"/>
      </w:pPr>
      <w:rPr>
        <w:rFonts w:ascii="Symbol" w:hAnsi="Symbol" w:hint="default"/>
      </w:rPr>
    </w:lvl>
    <w:lvl w:ilvl="4" w:tplc="0C0A0003" w:tentative="1">
      <w:start w:val="1"/>
      <w:numFmt w:val="bullet"/>
      <w:lvlText w:val="o"/>
      <w:lvlJc w:val="left"/>
      <w:pPr>
        <w:tabs>
          <w:tab w:val="num" w:pos="3099"/>
        </w:tabs>
        <w:ind w:left="3099" w:hanging="360"/>
      </w:pPr>
      <w:rPr>
        <w:rFonts w:ascii="Courier New" w:hAnsi="Courier New" w:cs="Times" w:hint="default"/>
      </w:rPr>
    </w:lvl>
    <w:lvl w:ilvl="5" w:tplc="0C0A0005" w:tentative="1">
      <w:start w:val="1"/>
      <w:numFmt w:val="bullet"/>
      <w:lvlText w:val=""/>
      <w:lvlJc w:val="left"/>
      <w:pPr>
        <w:tabs>
          <w:tab w:val="num" w:pos="3819"/>
        </w:tabs>
        <w:ind w:left="3819" w:hanging="360"/>
      </w:pPr>
      <w:rPr>
        <w:rFonts w:ascii="Wingdings" w:hAnsi="Wingdings" w:hint="default"/>
      </w:rPr>
    </w:lvl>
    <w:lvl w:ilvl="6" w:tplc="0C0A0001" w:tentative="1">
      <w:start w:val="1"/>
      <w:numFmt w:val="bullet"/>
      <w:lvlText w:val=""/>
      <w:lvlJc w:val="left"/>
      <w:pPr>
        <w:tabs>
          <w:tab w:val="num" w:pos="4539"/>
        </w:tabs>
        <w:ind w:left="4539" w:hanging="360"/>
      </w:pPr>
      <w:rPr>
        <w:rFonts w:ascii="Symbol" w:hAnsi="Symbol" w:hint="default"/>
      </w:rPr>
    </w:lvl>
    <w:lvl w:ilvl="7" w:tplc="0C0A0003" w:tentative="1">
      <w:start w:val="1"/>
      <w:numFmt w:val="bullet"/>
      <w:lvlText w:val="o"/>
      <w:lvlJc w:val="left"/>
      <w:pPr>
        <w:tabs>
          <w:tab w:val="num" w:pos="5259"/>
        </w:tabs>
        <w:ind w:left="5259" w:hanging="360"/>
      </w:pPr>
      <w:rPr>
        <w:rFonts w:ascii="Courier New" w:hAnsi="Courier New" w:cs="Times" w:hint="default"/>
      </w:rPr>
    </w:lvl>
    <w:lvl w:ilvl="8" w:tplc="0C0A0005" w:tentative="1">
      <w:start w:val="1"/>
      <w:numFmt w:val="bullet"/>
      <w:lvlText w:val=""/>
      <w:lvlJc w:val="left"/>
      <w:pPr>
        <w:tabs>
          <w:tab w:val="num" w:pos="5979"/>
        </w:tabs>
        <w:ind w:left="5979" w:hanging="360"/>
      </w:pPr>
      <w:rPr>
        <w:rFonts w:ascii="Wingdings" w:hAnsi="Wingdings" w:hint="default"/>
      </w:rPr>
    </w:lvl>
  </w:abstractNum>
  <w:abstractNum w:abstractNumId="48" w15:restartNumberingAfterBreak="0">
    <w:nsid w:val="78C605C6"/>
    <w:multiLevelType w:val="hybridMultilevel"/>
    <w:tmpl w:val="6D525BE2"/>
    <w:lvl w:ilvl="0" w:tplc="19264DB8">
      <w:start w:val="1"/>
      <w:numFmt w:val="bullet"/>
      <w:lvlText w:val=""/>
      <w:lvlJc w:val="left"/>
      <w:pPr>
        <w:tabs>
          <w:tab w:val="num" w:pos="1428"/>
        </w:tabs>
        <w:ind w:left="1428" w:hanging="360"/>
      </w:pPr>
      <w:rPr>
        <w:rFonts w:ascii="Symbol" w:hAnsi="Symbol" w:hint="default"/>
      </w:rPr>
    </w:lvl>
    <w:lvl w:ilvl="1" w:tplc="0C0A0019" w:tentative="1">
      <w:start w:val="1"/>
      <w:numFmt w:val="lowerLetter"/>
      <w:lvlText w:val="%2."/>
      <w:lvlJc w:val="left"/>
      <w:pPr>
        <w:tabs>
          <w:tab w:val="num" w:pos="1990"/>
        </w:tabs>
        <w:ind w:left="1990" w:hanging="360"/>
      </w:pPr>
    </w:lvl>
    <w:lvl w:ilvl="2" w:tplc="0C0A001B" w:tentative="1">
      <w:start w:val="1"/>
      <w:numFmt w:val="lowerRoman"/>
      <w:lvlText w:val="%3."/>
      <w:lvlJc w:val="right"/>
      <w:pPr>
        <w:tabs>
          <w:tab w:val="num" w:pos="2710"/>
        </w:tabs>
        <w:ind w:left="2710" w:hanging="180"/>
      </w:pPr>
    </w:lvl>
    <w:lvl w:ilvl="3" w:tplc="0C0A000F" w:tentative="1">
      <w:start w:val="1"/>
      <w:numFmt w:val="decimal"/>
      <w:lvlText w:val="%4."/>
      <w:lvlJc w:val="left"/>
      <w:pPr>
        <w:tabs>
          <w:tab w:val="num" w:pos="3430"/>
        </w:tabs>
        <w:ind w:left="3430" w:hanging="360"/>
      </w:pPr>
    </w:lvl>
    <w:lvl w:ilvl="4" w:tplc="0C0A0019" w:tentative="1">
      <w:start w:val="1"/>
      <w:numFmt w:val="lowerLetter"/>
      <w:lvlText w:val="%5."/>
      <w:lvlJc w:val="left"/>
      <w:pPr>
        <w:tabs>
          <w:tab w:val="num" w:pos="4150"/>
        </w:tabs>
        <w:ind w:left="4150" w:hanging="360"/>
      </w:pPr>
    </w:lvl>
    <w:lvl w:ilvl="5" w:tplc="0C0A001B" w:tentative="1">
      <w:start w:val="1"/>
      <w:numFmt w:val="lowerRoman"/>
      <w:lvlText w:val="%6."/>
      <w:lvlJc w:val="right"/>
      <w:pPr>
        <w:tabs>
          <w:tab w:val="num" w:pos="4870"/>
        </w:tabs>
        <w:ind w:left="4870" w:hanging="180"/>
      </w:pPr>
    </w:lvl>
    <w:lvl w:ilvl="6" w:tplc="0C0A000F" w:tentative="1">
      <w:start w:val="1"/>
      <w:numFmt w:val="decimal"/>
      <w:lvlText w:val="%7."/>
      <w:lvlJc w:val="left"/>
      <w:pPr>
        <w:tabs>
          <w:tab w:val="num" w:pos="5590"/>
        </w:tabs>
        <w:ind w:left="5590" w:hanging="360"/>
      </w:pPr>
    </w:lvl>
    <w:lvl w:ilvl="7" w:tplc="0C0A0019" w:tentative="1">
      <w:start w:val="1"/>
      <w:numFmt w:val="lowerLetter"/>
      <w:lvlText w:val="%8."/>
      <w:lvlJc w:val="left"/>
      <w:pPr>
        <w:tabs>
          <w:tab w:val="num" w:pos="6310"/>
        </w:tabs>
        <w:ind w:left="6310" w:hanging="360"/>
      </w:pPr>
    </w:lvl>
    <w:lvl w:ilvl="8" w:tplc="0C0A001B" w:tentative="1">
      <w:start w:val="1"/>
      <w:numFmt w:val="lowerRoman"/>
      <w:lvlText w:val="%9."/>
      <w:lvlJc w:val="right"/>
      <w:pPr>
        <w:tabs>
          <w:tab w:val="num" w:pos="7030"/>
        </w:tabs>
        <w:ind w:left="7030" w:hanging="180"/>
      </w:pPr>
    </w:lvl>
  </w:abstractNum>
  <w:abstractNum w:abstractNumId="49" w15:restartNumberingAfterBreak="0">
    <w:nsid w:val="7BF24830"/>
    <w:multiLevelType w:val="hybridMultilevel"/>
    <w:tmpl w:val="4CB66796"/>
    <w:lvl w:ilvl="0" w:tplc="0C0A0001">
      <w:start w:val="1"/>
      <w:numFmt w:val="bullet"/>
      <w:lvlText w:val=""/>
      <w:lvlJc w:val="left"/>
      <w:pPr>
        <w:tabs>
          <w:tab w:val="num" w:pos="910"/>
        </w:tabs>
        <w:ind w:left="910" w:hanging="360"/>
      </w:pPr>
      <w:rPr>
        <w:rFonts w:ascii="Symbol" w:hAnsi="Symbol" w:hint="default"/>
      </w:rPr>
    </w:lvl>
    <w:lvl w:ilvl="1" w:tplc="0C0A0003">
      <w:start w:val="1"/>
      <w:numFmt w:val="bullet"/>
      <w:lvlText w:val="o"/>
      <w:lvlJc w:val="left"/>
      <w:pPr>
        <w:tabs>
          <w:tab w:val="num" w:pos="562"/>
        </w:tabs>
        <w:ind w:left="562" w:hanging="360"/>
      </w:pPr>
      <w:rPr>
        <w:rFonts w:ascii="Courier New" w:hAnsi="Courier New" w:cs="Times" w:hint="default"/>
      </w:rPr>
    </w:lvl>
    <w:lvl w:ilvl="2" w:tplc="0C0A0005">
      <w:start w:val="1"/>
      <w:numFmt w:val="bullet"/>
      <w:lvlText w:val=""/>
      <w:lvlJc w:val="left"/>
      <w:pPr>
        <w:tabs>
          <w:tab w:val="num" w:pos="1282"/>
        </w:tabs>
        <w:ind w:left="1282" w:hanging="360"/>
      </w:pPr>
      <w:rPr>
        <w:rFonts w:ascii="Wingdings" w:hAnsi="Wingdings" w:hint="default"/>
      </w:rPr>
    </w:lvl>
    <w:lvl w:ilvl="3" w:tplc="0C0A0001" w:tentative="1">
      <w:start w:val="1"/>
      <w:numFmt w:val="bullet"/>
      <w:lvlText w:val=""/>
      <w:lvlJc w:val="left"/>
      <w:pPr>
        <w:tabs>
          <w:tab w:val="num" w:pos="2002"/>
        </w:tabs>
        <w:ind w:left="2002" w:hanging="360"/>
      </w:pPr>
      <w:rPr>
        <w:rFonts w:ascii="Symbol" w:hAnsi="Symbol" w:hint="default"/>
      </w:rPr>
    </w:lvl>
    <w:lvl w:ilvl="4" w:tplc="0C0A0003" w:tentative="1">
      <w:start w:val="1"/>
      <w:numFmt w:val="bullet"/>
      <w:lvlText w:val="o"/>
      <w:lvlJc w:val="left"/>
      <w:pPr>
        <w:tabs>
          <w:tab w:val="num" w:pos="2722"/>
        </w:tabs>
        <w:ind w:left="2722" w:hanging="360"/>
      </w:pPr>
      <w:rPr>
        <w:rFonts w:ascii="Courier New" w:hAnsi="Courier New" w:cs="Times" w:hint="default"/>
      </w:rPr>
    </w:lvl>
    <w:lvl w:ilvl="5" w:tplc="0C0A0005" w:tentative="1">
      <w:start w:val="1"/>
      <w:numFmt w:val="bullet"/>
      <w:lvlText w:val=""/>
      <w:lvlJc w:val="left"/>
      <w:pPr>
        <w:tabs>
          <w:tab w:val="num" w:pos="3442"/>
        </w:tabs>
        <w:ind w:left="3442" w:hanging="360"/>
      </w:pPr>
      <w:rPr>
        <w:rFonts w:ascii="Wingdings" w:hAnsi="Wingdings" w:hint="default"/>
      </w:rPr>
    </w:lvl>
    <w:lvl w:ilvl="6" w:tplc="0C0A0001" w:tentative="1">
      <w:start w:val="1"/>
      <w:numFmt w:val="bullet"/>
      <w:lvlText w:val=""/>
      <w:lvlJc w:val="left"/>
      <w:pPr>
        <w:tabs>
          <w:tab w:val="num" w:pos="4162"/>
        </w:tabs>
        <w:ind w:left="4162" w:hanging="360"/>
      </w:pPr>
      <w:rPr>
        <w:rFonts w:ascii="Symbol" w:hAnsi="Symbol" w:hint="default"/>
      </w:rPr>
    </w:lvl>
    <w:lvl w:ilvl="7" w:tplc="0C0A0003" w:tentative="1">
      <w:start w:val="1"/>
      <w:numFmt w:val="bullet"/>
      <w:lvlText w:val="o"/>
      <w:lvlJc w:val="left"/>
      <w:pPr>
        <w:tabs>
          <w:tab w:val="num" w:pos="4882"/>
        </w:tabs>
        <w:ind w:left="4882" w:hanging="360"/>
      </w:pPr>
      <w:rPr>
        <w:rFonts w:ascii="Courier New" w:hAnsi="Courier New" w:cs="Times" w:hint="default"/>
      </w:rPr>
    </w:lvl>
    <w:lvl w:ilvl="8" w:tplc="0C0A0005" w:tentative="1">
      <w:start w:val="1"/>
      <w:numFmt w:val="bullet"/>
      <w:lvlText w:val=""/>
      <w:lvlJc w:val="left"/>
      <w:pPr>
        <w:tabs>
          <w:tab w:val="num" w:pos="5602"/>
        </w:tabs>
        <w:ind w:left="5602" w:hanging="360"/>
      </w:pPr>
      <w:rPr>
        <w:rFonts w:ascii="Wingdings" w:hAnsi="Wingdings" w:hint="default"/>
      </w:rPr>
    </w:lvl>
  </w:abstractNum>
  <w:num w:numId="1">
    <w:abstractNumId w:val="22"/>
  </w:num>
  <w:num w:numId="2">
    <w:abstractNumId w:val="37"/>
  </w:num>
  <w:num w:numId="3">
    <w:abstractNumId w:val="48"/>
  </w:num>
  <w:num w:numId="4">
    <w:abstractNumId w:val="36"/>
  </w:num>
  <w:num w:numId="5">
    <w:abstractNumId w:val="30"/>
  </w:num>
  <w:num w:numId="6">
    <w:abstractNumId w:val="44"/>
  </w:num>
  <w:num w:numId="7">
    <w:abstractNumId w:val="25"/>
  </w:num>
  <w:num w:numId="8">
    <w:abstractNumId w:val="34"/>
  </w:num>
  <w:num w:numId="9">
    <w:abstractNumId w:val="49"/>
  </w:num>
  <w:num w:numId="10">
    <w:abstractNumId w:val="31"/>
  </w:num>
  <w:num w:numId="11">
    <w:abstractNumId w:val="13"/>
  </w:num>
  <w:num w:numId="12">
    <w:abstractNumId w:val="27"/>
  </w:num>
  <w:num w:numId="13">
    <w:abstractNumId w:val="38"/>
  </w:num>
  <w:num w:numId="14">
    <w:abstractNumId w:val="47"/>
  </w:num>
  <w:num w:numId="15">
    <w:abstractNumId w:val="28"/>
  </w:num>
  <w:num w:numId="16">
    <w:abstractNumId w:val="24"/>
  </w:num>
  <w:num w:numId="17">
    <w:abstractNumId w:val="19"/>
  </w:num>
  <w:num w:numId="18">
    <w:abstractNumId w:val="26"/>
  </w:num>
  <w:num w:numId="19">
    <w:abstractNumId w:val="33"/>
  </w:num>
  <w:num w:numId="20">
    <w:abstractNumId w:val="17"/>
  </w:num>
  <w:num w:numId="21">
    <w:abstractNumId w:val="6"/>
  </w:num>
  <w:num w:numId="22">
    <w:abstractNumId w:val="18"/>
  </w:num>
  <w:num w:numId="23">
    <w:abstractNumId w:val="11"/>
  </w:num>
  <w:num w:numId="24">
    <w:abstractNumId w:val="41"/>
  </w:num>
  <w:num w:numId="25">
    <w:abstractNumId w:val="12"/>
  </w:num>
  <w:num w:numId="26">
    <w:abstractNumId w:val="43"/>
  </w:num>
  <w:num w:numId="27">
    <w:abstractNumId w:val="10"/>
  </w:num>
  <w:num w:numId="28">
    <w:abstractNumId w:val="32"/>
  </w:num>
  <w:num w:numId="29">
    <w:abstractNumId w:val="45"/>
  </w:num>
  <w:num w:numId="30">
    <w:abstractNumId w:val="23"/>
  </w:num>
  <w:num w:numId="31">
    <w:abstractNumId w:val="2"/>
  </w:num>
  <w:num w:numId="32">
    <w:abstractNumId w:val="42"/>
  </w:num>
  <w:num w:numId="33">
    <w:abstractNumId w:val="8"/>
  </w:num>
  <w:num w:numId="34">
    <w:abstractNumId w:val="4"/>
  </w:num>
  <w:num w:numId="35">
    <w:abstractNumId w:val="9"/>
  </w:num>
  <w:num w:numId="36">
    <w:abstractNumId w:val="15"/>
  </w:num>
  <w:num w:numId="37">
    <w:abstractNumId w:val="5"/>
  </w:num>
  <w:num w:numId="38">
    <w:abstractNumId w:val="14"/>
  </w:num>
  <w:num w:numId="39">
    <w:abstractNumId w:val="7"/>
  </w:num>
  <w:num w:numId="40">
    <w:abstractNumId w:val="3"/>
  </w:num>
  <w:num w:numId="41">
    <w:abstractNumId w:val="46"/>
  </w:num>
  <w:num w:numId="42">
    <w:abstractNumId w:val="20"/>
  </w:num>
  <w:num w:numId="43">
    <w:abstractNumId w:val="21"/>
  </w:num>
  <w:num w:numId="44">
    <w:abstractNumId w:val="40"/>
  </w:num>
  <w:num w:numId="45">
    <w:abstractNumId w:val="35"/>
  </w:num>
  <w:num w:numId="46">
    <w:abstractNumId w:val="16"/>
  </w:num>
  <w:num w:numId="47">
    <w:abstractNumId w:val="0"/>
  </w:num>
  <w:num w:numId="48">
    <w:abstractNumId w:val="39"/>
  </w:num>
  <w:num w:numId="49">
    <w:abstractNumId w:val="29"/>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rawingGridVerticalSpacing w:val="299"/>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1A"/>
    <w:rsid w:val="000057FB"/>
    <w:rsid w:val="00006021"/>
    <w:rsid w:val="000077AC"/>
    <w:rsid w:val="000147E7"/>
    <w:rsid w:val="00015EC3"/>
    <w:rsid w:val="00017B37"/>
    <w:rsid w:val="00020BA4"/>
    <w:rsid w:val="000238C0"/>
    <w:rsid w:val="000253BC"/>
    <w:rsid w:val="0002681A"/>
    <w:rsid w:val="00034EDF"/>
    <w:rsid w:val="000361F3"/>
    <w:rsid w:val="0003675B"/>
    <w:rsid w:val="000369A4"/>
    <w:rsid w:val="00037455"/>
    <w:rsid w:val="00050873"/>
    <w:rsid w:val="000542A9"/>
    <w:rsid w:val="00055F78"/>
    <w:rsid w:val="0005698B"/>
    <w:rsid w:val="0006506C"/>
    <w:rsid w:val="0006674C"/>
    <w:rsid w:val="000807CD"/>
    <w:rsid w:val="00081806"/>
    <w:rsid w:val="000834FB"/>
    <w:rsid w:val="00083C7C"/>
    <w:rsid w:val="0008454D"/>
    <w:rsid w:val="00086BBC"/>
    <w:rsid w:val="00091F1B"/>
    <w:rsid w:val="000A2E83"/>
    <w:rsid w:val="000A41EC"/>
    <w:rsid w:val="000C5BA5"/>
    <w:rsid w:val="000D026E"/>
    <w:rsid w:val="000D35B3"/>
    <w:rsid w:val="000D5520"/>
    <w:rsid w:val="000D729A"/>
    <w:rsid w:val="000E1901"/>
    <w:rsid w:val="000F1BAD"/>
    <w:rsid w:val="000F3EC8"/>
    <w:rsid w:val="000F6592"/>
    <w:rsid w:val="00100BC4"/>
    <w:rsid w:val="00103ADE"/>
    <w:rsid w:val="0010573A"/>
    <w:rsid w:val="00111E29"/>
    <w:rsid w:val="001140BA"/>
    <w:rsid w:val="00114B40"/>
    <w:rsid w:val="0012137F"/>
    <w:rsid w:val="0012259C"/>
    <w:rsid w:val="001248A9"/>
    <w:rsid w:val="00125EC5"/>
    <w:rsid w:val="00145E2D"/>
    <w:rsid w:val="00152BE3"/>
    <w:rsid w:val="00153327"/>
    <w:rsid w:val="00154920"/>
    <w:rsid w:val="00160F5E"/>
    <w:rsid w:val="0016527D"/>
    <w:rsid w:val="0017108C"/>
    <w:rsid w:val="001777B2"/>
    <w:rsid w:val="00177905"/>
    <w:rsid w:val="001830B7"/>
    <w:rsid w:val="001B63F9"/>
    <w:rsid w:val="001B7DFA"/>
    <w:rsid w:val="001C1C1E"/>
    <w:rsid w:val="001C261D"/>
    <w:rsid w:val="001C74F9"/>
    <w:rsid w:val="001E3B2F"/>
    <w:rsid w:val="001F0422"/>
    <w:rsid w:val="001F3E8B"/>
    <w:rsid w:val="001F5C2C"/>
    <w:rsid w:val="001F6393"/>
    <w:rsid w:val="001F7C66"/>
    <w:rsid w:val="00203CD1"/>
    <w:rsid w:val="002117E1"/>
    <w:rsid w:val="00211DA7"/>
    <w:rsid w:val="0021557D"/>
    <w:rsid w:val="00220FA1"/>
    <w:rsid w:val="00221380"/>
    <w:rsid w:val="002234D1"/>
    <w:rsid w:val="0022441D"/>
    <w:rsid w:val="0023616F"/>
    <w:rsid w:val="00247986"/>
    <w:rsid w:val="00252E28"/>
    <w:rsid w:val="0026467C"/>
    <w:rsid w:val="002656F1"/>
    <w:rsid w:val="0027160C"/>
    <w:rsid w:val="00271994"/>
    <w:rsid w:val="00277292"/>
    <w:rsid w:val="00280BD0"/>
    <w:rsid w:val="00293C92"/>
    <w:rsid w:val="002A08EA"/>
    <w:rsid w:val="002A1F06"/>
    <w:rsid w:val="002A6ADC"/>
    <w:rsid w:val="002A753B"/>
    <w:rsid w:val="002B0106"/>
    <w:rsid w:val="002B2732"/>
    <w:rsid w:val="002B434C"/>
    <w:rsid w:val="002D0353"/>
    <w:rsid w:val="002D2F0C"/>
    <w:rsid w:val="002D7A62"/>
    <w:rsid w:val="002E5DA5"/>
    <w:rsid w:val="002E5F44"/>
    <w:rsid w:val="002F08D7"/>
    <w:rsid w:val="002F1329"/>
    <w:rsid w:val="002F2836"/>
    <w:rsid w:val="002F5380"/>
    <w:rsid w:val="0030054E"/>
    <w:rsid w:val="003067CD"/>
    <w:rsid w:val="00314BCA"/>
    <w:rsid w:val="0032593D"/>
    <w:rsid w:val="00326A13"/>
    <w:rsid w:val="00332E59"/>
    <w:rsid w:val="00336150"/>
    <w:rsid w:val="00340329"/>
    <w:rsid w:val="00340BD7"/>
    <w:rsid w:val="00361B10"/>
    <w:rsid w:val="00367C61"/>
    <w:rsid w:val="00372529"/>
    <w:rsid w:val="00387687"/>
    <w:rsid w:val="003907F9"/>
    <w:rsid w:val="003929EA"/>
    <w:rsid w:val="00397455"/>
    <w:rsid w:val="003A1B44"/>
    <w:rsid w:val="003A2FA7"/>
    <w:rsid w:val="003B516E"/>
    <w:rsid w:val="003B6C75"/>
    <w:rsid w:val="003B6E9B"/>
    <w:rsid w:val="003C051B"/>
    <w:rsid w:val="003C1E58"/>
    <w:rsid w:val="003C2316"/>
    <w:rsid w:val="003C684B"/>
    <w:rsid w:val="003D07DF"/>
    <w:rsid w:val="003D2159"/>
    <w:rsid w:val="003D3B07"/>
    <w:rsid w:val="003E231A"/>
    <w:rsid w:val="003E262B"/>
    <w:rsid w:val="003F331B"/>
    <w:rsid w:val="003F417C"/>
    <w:rsid w:val="003F4297"/>
    <w:rsid w:val="003F5FCC"/>
    <w:rsid w:val="0040174B"/>
    <w:rsid w:val="004134E5"/>
    <w:rsid w:val="00416A91"/>
    <w:rsid w:val="00417307"/>
    <w:rsid w:val="00425291"/>
    <w:rsid w:val="00433044"/>
    <w:rsid w:val="00437C13"/>
    <w:rsid w:val="004422CB"/>
    <w:rsid w:val="00450734"/>
    <w:rsid w:val="00450D0B"/>
    <w:rsid w:val="00455077"/>
    <w:rsid w:val="004567B6"/>
    <w:rsid w:val="00460ABD"/>
    <w:rsid w:val="004610A6"/>
    <w:rsid w:val="00467622"/>
    <w:rsid w:val="00472D47"/>
    <w:rsid w:val="00480E6B"/>
    <w:rsid w:val="00480EC9"/>
    <w:rsid w:val="004818D8"/>
    <w:rsid w:val="00482AB6"/>
    <w:rsid w:val="00485791"/>
    <w:rsid w:val="004A0796"/>
    <w:rsid w:val="004A4F75"/>
    <w:rsid w:val="004B4BCF"/>
    <w:rsid w:val="004B61ED"/>
    <w:rsid w:val="004C1AA7"/>
    <w:rsid w:val="004C3F25"/>
    <w:rsid w:val="004C4995"/>
    <w:rsid w:val="004C65F0"/>
    <w:rsid w:val="004D42DA"/>
    <w:rsid w:val="004E0984"/>
    <w:rsid w:val="004E308A"/>
    <w:rsid w:val="004E660E"/>
    <w:rsid w:val="004E6A56"/>
    <w:rsid w:val="004F7187"/>
    <w:rsid w:val="00505BFC"/>
    <w:rsid w:val="00512F91"/>
    <w:rsid w:val="00516C38"/>
    <w:rsid w:val="00517B64"/>
    <w:rsid w:val="005243AF"/>
    <w:rsid w:val="00532DE6"/>
    <w:rsid w:val="00535AEE"/>
    <w:rsid w:val="00535ED0"/>
    <w:rsid w:val="0053669A"/>
    <w:rsid w:val="005428C8"/>
    <w:rsid w:val="00550CB3"/>
    <w:rsid w:val="005631A5"/>
    <w:rsid w:val="00564755"/>
    <w:rsid w:val="00572A90"/>
    <w:rsid w:val="00587573"/>
    <w:rsid w:val="005906B0"/>
    <w:rsid w:val="00591E1F"/>
    <w:rsid w:val="005A1238"/>
    <w:rsid w:val="005B0317"/>
    <w:rsid w:val="005B1B38"/>
    <w:rsid w:val="005B4AB8"/>
    <w:rsid w:val="005B7F7B"/>
    <w:rsid w:val="005C0817"/>
    <w:rsid w:val="005C24DA"/>
    <w:rsid w:val="005D065C"/>
    <w:rsid w:val="005D0944"/>
    <w:rsid w:val="005E3FEA"/>
    <w:rsid w:val="005F702F"/>
    <w:rsid w:val="006135D9"/>
    <w:rsid w:val="00615EF0"/>
    <w:rsid w:val="0061761D"/>
    <w:rsid w:val="0062162D"/>
    <w:rsid w:val="00621EBD"/>
    <w:rsid w:val="00622DA8"/>
    <w:rsid w:val="006258B4"/>
    <w:rsid w:val="00625B2A"/>
    <w:rsid w:val="00626D20"/>
    <w:rsid w:val="006325BF"/>
    <w:rsid w:val="00634380"/>
    <w:rsid w:val="00635291"/>
    <w:rsid w:val="0064434C"/>
    <w:rsid w:val="0064627E"/>
    <w:rsid w:val="00647084"/>
    <w:rsid w:val="00667080"/>
    <w:rsid w:val="00671312"/>
    <w:rsid w:val="006731A6"/>
    <w:rsid w:val="006818CA"/>
    <w:rsid w:val="00684FBC"/>
    <w:rsid w:val="0068691F"/>
    <w:rsid w:val="0069211B"/>
    <w:rsid w:val="0069235F"/>
    <w:rsid w:val="006A1BF2"/>
    <w:rsid w:val="006A3B88"/>
    <w:rsid w:val="006C0D32"/>
    <w:rsid w:val="006C5353"/>
    <w:rsid w:val="006C674E"/>
    <w:rsid w:val="006D1C92"/>
    <w:rsid w:val="006E3BDA"/>
    <w:rsid w:val="006E57E7"/>
    <w:rsid w:val="006E5ADF"/>
    <w:rsid w:val="00702CC7"/>
    <w:rsid w:val="007106BA"/>
    <w:rsid w:val="007140AA"/>
    <w:rsid w:val="00726EE6"/>
    <w:rsid w:val="00727BCE"/>
    <w:rsid w:val="00736661"/>
    <w:rsid w:val="00743498"/>
    <w:rsid w:val="00745E72"/>
    <w:rsid w:val="00750028"/>
    <w:rsid w:val="007509FA"/>
    <w:rsid w:val="007530ED"/>
    <w:rsid w:val="0075329C"/>
    <w:rsid w:val="0075794A"/>
    <w:rsid w:val="00760DC5"/>
    <w:rsid w:val="00763402"/>
    <w:rsid w:val="0076481C"/>
    <w:rsid w:val="0077305C"/>
    <w:rsid w:val="00776625"/>
    <w:rsid w:val="00792DEC"/>
    <w:rsid w:val="00795A76"/>
    <w:rsid w:val="007B0345"/>
    <w:rsid w:val="007B40EC"/>
    <w:rsid w:val="007C1551"/>
    <w:rsid w:val="007C1EA1"/>
    <w:rsid w:val="007D65AF"/>
    <w:rsid w:val="007E08BB"/>
    <w:rsid w:val="007E2A4C"/>
    <w:rsid w:val="007E3421"/>
    <w:rsid w:val="007F00DF"/>
    <w:rsid w:val="007F2569"/>
    <w:rsid w:val="008022DC"/>
    <w:rsid w:val="008053CE"/>
    <w:rsid w:val="008123D0"/>
    <w:rsid w:val="00815DFB"/>
    <w:rsid w:val="0081691C"/>
    <w:rsid w:val="008225F0"/>
    <w:rsid w:val="00830291"/>
    <w:rsid w:val="00835EAB"/>
    <w:rsid w:val="008442EE"/>
    <w:rsid w:val="00844CF4"/>
    <w:rsid w:val="00846C8B"/>
    <w:rsid w:val="00853FBE"/>
    <w:rsid w:val="00854F4A"/>
    <w:rsid w:val="00867A6C"/>
    <w:rsid w:val="00872891"/>
    <w:rsid w:val="008748B3"/>
    <w:rsid w:val="00877B54"/>
    <w:rsid w:val="00882E6C"/>
    <w:rsid w:val="00891043"/>
    <w:rsid w:val="008A29BD"/>
    <w:rsid w:val="008A3C5D"/>
    <w:rsid w:val="008A4457"/>
    <w:rsid w:val="008A610C"/>
    <w:rsid w:val="008B5E86"/>
    <w:rsid w:val="008B5F92"/>
    <w:rsid w:val="008B6716"/>
    <w:rsid w:val="008C1E83"/>
    <w:rsid w:val="008D448F"/>
    <w:rsid w:val="008D5698"/>
    <w:rsid w:val="008E0930"/>
    <w:rsid w:val="008E6827"/>
    <w:rsid w:val="008E712E"/>
    <w:rsid w:val="008F3064"/>
    <w:rsid w:val="008F705C"/>
    <w:rsid w:val="00900FCA"/>
    <w:rsid w:val="009020A0"/>
    <w:rsid w:val="009024F7"/>
    <w:rsid w:val="00905953"/>
    <w:rsid w:val="00907CF7"/>
    <w:rsid w:val="00911FF7"/>
    <w:rsid w:val="0091268E"/>
    <w:rsid w:val="00916642"/>
    <w:rsid w:val="009177A2"/>
    <w:rsid w:val="009203BC"/>
    <w:rsid w:val="00941B53"/>
    <w:rsid w:val="009530E6"/>
    <w:rsid w:val="00955D27"/>
    <w:rsid w:val="00956CA3"/>
    <w:rsid w:val="00961A55"/>
    <w:rsid w:val="00963CAF"/>
    <w:rsid w:val="0096546E"/>
    <w:rsid w:val="00965C25"/>
    <w:rsid w:val="00974D86"/>
    <w:rsid w:val="00977050"/>
    <w:rsid w:val="00982430"/>
    <w:rsid w:val="009831F2"/>
    <w:rsid w:val="00986526"/>
    <w:rsid w:val="00990594"/>
    <w:rsid w:val="00991CFB"/>
    <w:rsid w:val="009969D3"/>
    <w:rsid w:val="0099705D"/>
    <w:rsid w:val="0099787E"/>
    <w:rsid w:val="009A08F2"/>
    <w:rsid w:val="009A349B"/>
    <w:rsid w:val="009A4218"/>
    <w:rsid w:val="009B6C8C"/>
    <w:rsid w:val="009C728D"/>
    <w:rsid w:val="009D0B28"/>
    <w:rsid w:val="009D7110"/>
    <w:rsid w:val="009E2D8D"/>
    <w:rsid w:val="009F03CD"/>
    <w:rsid w:val="009F2F68"/>
    <w:rsid w:val="00A0556C"/>
    <w:rsid w:val="00A1365E"/>
    <w:rsid w:val="00A13DA7"/>
    <w:rsid w:val="00A161F3"/>
    <w:rsid w:val="00A2376F"/>
    <w:rsid w:val="00A23E08"/>
    <w:rsid w:val="00A24D92"/>
    <w:rsid w:val="00A27AF4"/>
    <w:rsid w:val="00A339BC"/>
    <w:rsid w:val="00A346E5"/>
    <w:rsid w:val="00A35DA7"/>
    <w:rsid w:val="00A41BFA"/>
    <w:rsid w:val="00A502B2"/>
    <w:rsid w:val="00A563F3"/>
    <w:rsid w:val="00A62A2E"/>
    <w:rsid w:val="00A63E53"/>
    <w:rsid w:val="00A671BE"/>
    <w:rsid w:val="00A67821"/>
    <w:rsid w:val="00A74225"/>
    <w:rsid w:val="00A91E6A"/>
    <w:rsid w:val="00AA3345"/>
    <w:rsid w:val="00AA5EB3"/>
    <w:rsid w:val="00AC2558"/>
    <w:rsid w:val="00AC7BB3"/>
    <w:rsid w:val="00AD47D3"/>
    <w:rsid w:val="00AD7BA2"/>
    <w:rsid w:val="00AE244F"/>
    <w:rsid w:val="00AE39EA"/>
    <w:rsid w:val="00AF75E3"/>
    <w:rsid w:val="00B017E9"/>
    <w:rsid w:val="00B02E2E"/>
    <w:rsid w:val="00B04AB0"/>
    <w:rsid w:val="00B07080"/>
    <w:rsid w:val="00B1755D"/>
    <w:rsid w:val="00B210AA"/>
    <w:rsid w:val="00B22427"/>
    <w:rsid w:val="00B22C0A"/>
    <w:rsid w:val="00B26A05"/>
    <w:rsid w:val="00B30EAD"/>
    <w:rsid w:val="00B34C72"/>
    <w:rsid w:val="00B35961"/>
    <w:rsid w:val="00B441AB"/>
    <w:rsid w:val="00B460EB"/>
    <w:rsid w:val="00B47B08"/>
    <w:rsid w:val="00B51C81"/>
    <w:rsid w:val="00B52548"/>
    <w:rsid w:val="00B74AB0"/>
    <w:rsid w:val="00B74FE8"/>
    <w:rsid w:val="00B77146"/>
    <w:rsid w:val="00B817BB"/>
    <w:rsid w:val="00B82C10"/>
    <w:rsid w:val="00B83130"/>
    <w:rsid w:val="00B85467"/>
    <w:rsid w:val="00B87730"/>
    <w:rsid w:val="00B908B9"/>
    <w:rsid w:val="00B92356"/>
    <w:rsid w:val="00BA6201"/>
    <w:rsid w:val="00BB35D0"/>
    <w:rsid w:val="00BB5132"/>
    <w:rsid w:val="00BB5689"/>
    <w:rsid w:val="00BB73B9"/>
    <w:rsid w:val="00BC0B7F"/>
    <w:rsid w:val="00BC61C3"/>
    <w:rsid w:val="00BC6C67"/>
    <w:rsid w:val="00BD3B22"/>
    <w:rsid w:val="00BD651A"/>
    <w:rsid w:val="00BD6B2A"/>
    <w:rsid w:val="00BE2157"/>
    <w:rsid w:val="00BE78E6"/>
    <w:rsid w:val="00BF39F3"/>
    <w:rsid w:val="00C00D8E"/>
    <w:rsid w:val="00C11B9E"/>
    <w:rsid w:val="00C154DD"/>
    <w:rsid w:val="00C2189E"/>
    <w:rsid w:val="00C24673"/>
    <w:rsid w:val="00C25AE6"/>
    <w:rsid w:val="00C27568"/>
    <w:rsid w:val="00C31B82"/>
    <w:rsid w:val="00C31D75"/>
    <w:rsid w:val="00C3205B"/>
    <w:rsid w:val="00C32C98"/>
    <w:rsid w:val="00C36355"/>
    <w:rsid w:val="00C364C8"/>
    <w:rsid w:val="00C37163"/>
    <w:rsid w:val="00C46330"/>
    <w:rsid w:val="00C518A7"/>
    <w:rsid w:val="00C63681"/>
    <w:rsid w:val="00C93C2A"/>
    <w:rsid w:val="00C977A1"/>
    <w:rsid w:val="00CA1282"/>
    <w:rsid w:val="00CB78C3"/>
    <w:rsid w:val="00CC028B"/>
    <w:rsid w:val="00CC5FFB"/>
    <w:rsid w:val="00CE18D0"/>
    <w:rsid w:val="00CE57E9"/>
    <w:rsid w:val="00CF3C56"/>
    <w:rsid w:val="00CF61D2"/>
    <w:rsid w:val="00D104DC"/>
    <w:rsid w:val="00D128AC"/>
    <w:rsid w:val="00D20138"/>
    <w:rsid w:val="00D24086"/>
    <w:rsid w:val="00D26479"/>
    <w:rsid w:val="00D30A2D"/>
    <w:rsid w:val="00D35FA4"/>
    <w:rsid w:val="00D42464"/>
    <w:rsid w:val="00D4711E"/>
    <w:rsid w:val="00D51A41"/>
    <w:rsid w:val="00D546FC"/>
    <w:rsid w:val="00D5722F"/>
    <w:rsid w:val="00D62447"/>
    <w:rsid w:val="00D62A62"/>
    <w:rsid w:val="00D661DA"/>
    <w:rsid w:val="00D76415"/>
    <w:rsid w:val="00D80255"/>
    <w:rsid w:val="00D84A02"/>
    <w:rsid w:val="00D91E9C"/>
    <w:rsid w:val="00DB507A"/>
    <w:rsid w:val="00DB5934"/>
    <w:rsid w:val="00DB5BC9"/>
    <w:rsid w:val="00DC3835"/>
    <w:rsid w:val="00DC78D0"/>
    <w:rsid w:val="00DD0164"/>
    <w:rsid w:val="00DD068D"/>
    <w:rsid w:val="00DD2C57"/>
    <w:rsid w:val="00DD6972"/>
    <w:rsid w:val="00DE0376"/>
    <w:rsid w:val="00DE0E04"/>
    <w:rsid w:val="00DE0E09"/>
    <w:rsid w:val="00DE137B"/>
    <w:rsid w:val="00DE75B6"/>
    <w:rsid w:val="00E03574"/>
    <w:rsid w:val="00E106B7"/>
    <w:rsid w:val="00E10E3A"/>
    <w:rsid w:val="00E11EEC"/>
    <w:rsid w:val="00E14B72"/>
    <w:rsid w:val="00E20391"/>
    <w:rsid w:val="00E20F0C"/>
    <w:rsid w:val="00E22263"/>
    <w:rsid w:val="00E224F1"/>
    <w:rsid w:val="00E26DB9"/>
    <w:rsid w:val="00E31EEF"/>
    <w:rsid w:val="00E33F43"/>
    <w:rsid w:val="00E626A7"/>
    <w:rsid w:val="00E63083"/>
    <w:rsid w:val="00E652E5"/>
    <w:rsid w:val="00E65DAF"/>
    <w:rsid w:val="00E71474"/>
    <w:rsid w:val="00E748C7"/>
    <w:rsid w:val="00E74F94"/>
    <w:rsid w:val="00E75207"/>
    <w:rsid w:val="00E7661C"/>
    <w:rsid w:val="00E8306F"/>
    <w:rsid w:val="00E85CE1"/>
    <w:rsid w:val="00E85EFD"/>
    <w:rsid w:val="00E86F7F"/>
    <w:rsid w:val="00E90FB1"/>
    <w:rsid w:val="00EA0A9F"/>
    <w:rsid w:val="00EA437D"/>
    <w:rsid w:val="00EA7902"/>
    <w:rsid w:val="00EB0CAF"/>
    <w:rsid w:val="00EB0E87"/>
    <w:rsid w:val="00EB3290"/>
    <w:rsid w:val="00EB3E71"/>
    <w:rsid w:val="00EC185B"/>
    <w:rsid w:val="00ED22A2"/>
    <w:rsid w:val="00ED7C3C"/>
    <w:rsid w:val="00EE345C"/>
    <w:rsid w:val="00EF47AC"/>
    <w:rsid w:val="00EF772D"/>
    <w:rsid w:val="00F01BBC"/>
    <w:rsid w:val="00F04E13"/>
    <w:rsid w:val="00F06DDE"/>
    <w:rsid w:val="00F106CC"/>
    <w:rsid w:val="00F113D8"/>
    <w:rsid w:val="00F13A8C"/>
    <w:rsid w:val="00F157F5"/>
    <w:rsid w:val="00F170BB"/>
    <w:rsid w:val="00F206BB"/>
    <w:rsid w:val="00F26BEE"/>
    <w:rsid w:val="00F31842"/>
    <w:rsid w:val="00F327CF"/>
    <w:rsid w:val="00F373E3"/>
    <w:rsid w:val="00F414B9"/>
    <w:rsid w:val="00F4223F"/>
    <w:rsid w:val="00F4556B"/>
    <w:rsid w:val="00F53D33"/>
    <w:rsid w:val="00F54638"/>
    <w:rsid w:val="00F54BB0"/>
    <w:rsid w:val="00F54C8F"/>
    <w:rsid w:val="00F5580D"/>
    <w:rsid w:val="00F57200"/>
    <w:rsid w:val="00F6428F"/>
    <w:rsid w:val="00F66ABE"/>
    <w:rsid w:val="00F70B7D"/>
    <w:rsid w:val="00F72FB1"/>
    <w:rsid w:val="00F77F45"/>
    <w:rsid w:val="00F833EE"/>
    <w:rsid w:val="00F93755"/>
    <w:rsid w:val="00FA0A2F"/>
    <w:rsid w:val="00FA31E4"/>
    <w:rsid w:val="00FB4FC0"/>
    <w:rsid w:val="00FB5597"/>
    <w:rsid w:val="00FB7284"/>
    <w:rsid w:val="00FC0DA0"/>
    <w:rsid w:val="00FC47A1"/>
    <w:rsid w:val="00FD1FCA"/>
    <w:rsid w:val="00FD2FB6"/>
    <w:rsid w:val="00FD56E1"/>
    <w:rsid w:val="00FD6E4F"/>
    <w:rsid w:val="00FE3386"/>
    <w:rsid w:val="00FE5162"/>
    <w:rsid w:val="00FE7B75"/>
    <w:rsid w:val="00FF558A"/>
    <w:rsid w:val="00FF6A15"/>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3CDB6DD"/>
  <w15:docId w15:val="{EFD614A2-5F58-4CA7-B7FA-69FDC67D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C57"/>
    <w:pPr>
      <w:spacing w:before="120" w:after="120"/>
    </w:pPr>
    <w:rPr>
      <w:rFonts w:ascii="Arial" w:hAnsi="Arial"/>
      <w:sz w:val="24"/>
      <w:szCs w:val="24"/>
      <w:lang w:val="es-ES" w:eastAsia="es-ES"/>
    </w:rPr>
  </w:style>
  <w:style w:type="paragraph" w:styleId="Ttulo1">
    <w:name w:val="heading 1"/>
    <w:basedOn w:val="Normal"/>
    <w:next w:val="Normal"/>
    <w:link w:val="Ttulo1Car"/>
    <w:qFormat/>
    <w:rsid w:val="008D0EA0"/>
    <w:pPr>
      <w:keepNext/>
      <w:spacing w:before="240" w:after="60"/>
      <w:outlineLvl w:val="0"/>
    </w:pPr>
    <w:rPr>
      <w:b/>
      <w:bCs/>
      <w:kern w:val="32"/>
      <w:szCs w:val="32"/>
    </w:rPr>
  </w:style>
  <w:style w:type="paragraph" w:styleId="Ttulo2">
    <w:name w:val="heading 2"/>
    <w:basedOn w:val="Normal"/>
    <w:next w:val="Normal"/>
    <w:link w:val="Ttulo2Car"/>
    <w:qFormat/>
    <w:rsid w:val="008D0EA0"/>
    <w:pPr>
      <w:keepNext/>
      <w:autoSpaceDE w:val="0"/>
      <w:autoSpaceDN w:val="0"/>
      <w:adjustRightInd w:val="0"/>
      <w:spacing w:before="240"/>
      <w:ind w:left="709"/>
      <w:jc w:val="both"/>
      <w:outlineLvl w:val="1"/>
    </w:pPr>
    <w:rPr>
      <w:bCs/>
      <w:i/>
      <w:color w:val="000000"/>
    </w:rPr>
  </w:style>
  <w:style w:type="paragraph" w:styleId="Ttulo3">
    <w:name w:val="heading 3"/>
    <w:basedOn w:val="Normal"/>
    <w:next w:val="Normal"/>
    <w:link w:val="Ttulo3Car"/>
    <w:rsid w:val="00A346E5"/>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8D0EA0"/>
    <w:pPr>
      <w:tabs>
        <w:tab w:val="right" w:leader="dot" w:pos="8828"/>
      </w:tabs>
    </w:pPr>
    <w:rPr>
      <w:noProof/>
      <w:sz w:val="20"/>
      <w:szCs w:val="22"/>
    </w:rPr>
  </w:style>
  <w:style w:type="paragraph" w:styleId="TDC2">
    <w:name w:val="toc 2"/>
    <w:basedOn w:val="Normal"/>
    <w:next w:val="Normal"/>
    <w:autoRedefine/>
    <w:uiPriority w:val="39"/>
    <w:rsid w:val="001248A9"/>
    <w:pPr>
      <w:tabs>
        <w:tab w:val="right" w:leader="dot" w:pos="8495"/>
      </w:tabs>
      <w:ind w:left="240"/>
    </w:pPr>
    <w:rPr>
      <w:i/>
      <w:noProof/>
      <w:sz w:val="18"/>
    </w:rPr>
  </w:style>
  <w:style w:type="character" w:styleId="Hipervnculo">
    <w:name w:val="Hyperlink"/>
    <w:uiPriority w:val="99"/>
    <w:rsid w:val="008D0EA0"/>
    <w:rPr>
      <w:rFonts w:ascii="Arial" w:hAnsi="Arial"/>
      <w:color w:val="0000FF"/>
      <w:sz w:val="22"/>
      <w:u w:val="single"/>
    </w:rPr>
  </w:style>
  <w:style w:type="paragraph" w:styleId="Encabezado">
    <w:name w:val="header"/>
    <w:basedOn w:val="Normal"/>
    <w:rsid w:val="008D0EA0"/>
    <w:pPr>
      <w:tabs>
        <w:tab w:val="center" w:pos="4252"/>
        <w:tab w:val="right" w:pos="8504"/>
      </w:tabs>
    </w:pPr>
  </w:style>
  <w:style w:type="character" w:styleId="Nmerodepgina">
    <w:name w:val="page number"/>
    <w:basedOn w:val="Fuentedeprrafopredeter"/>
    <w:rsid w:val="008D0EA0"/>
  </w:style>
  <w:style w:type="paragraph" w:styleId="Textoindependiente">
    <w:name w:val="Body Text"/>
    <w:basedOn w:val="Normal"/>
    <w:link w:val="TextoindependienteCar"/>
    <w:rsid w:val="008D0EA0"/>
    <w:pPr>
      <w:autoSpaceDE w:val="0"/>
      <w:autoSpaceDN w:val="0"/>
      <w:adjustRightInd w:val="0"/>
      <w:spacing w:before="0"/>
      <w:jc w:val="both"/>
    </w:pPr>
    <w:rPr>
      <w:color w:val="000000"/>
      <w:sz w:val="20"/>
      <w:szCs w:val="20"/>
    </w:rPr>
  </w:style>
  <w:style w:type="paragraph" w:styleId="Piedepgina">
    <w:name w:val="footer"/>
    <w:basedOn w:val="Normal"/>
    <w:rsid w:val="008D0EA0"/>
    <w:pPr>
      <w:tabs>
        <w:tab w:val="center" w:pos="4252"/>
        <w:tab w:val="right" w:pos="8504"/>
      </w:tabs>
    </w:pPr>
  </w:style>
  <w:style w:type="paragraph" w:styleId="Sangra2detindependiente">
    <w:name w:val="Body Text Indent 2"/>
    <w:basedOn w:val="Normal"/>
    <w:link w:val="Sangra2detindependienteCar"/>
    <w:rsid w:val="008D0EA0"/>
    <w:pPr>
      <w:spacing w:line="480" w:lineRule="auto"/>
      <w:ind w:left="283"/>
    </w:pPr>
  </w:style>
  <w:style w:type="paragraph" w:styleId="Tabladeilustraciones">
    <w:name w:val="table of figures"/>
    <w:basedOn w:val="Normal"/>
    <w:next w:val="Normal"/>
    <w:rsid w:val="00F30593"/>
    <w:pPr>
      <w:spacing w:before="0" w:after="0"/>
    </w:pPr>
    <w:rPr>
      <w:rFonts w:ascii="Times New Roman" w:hAnsi="Times New Roman"/>
      <w:sz w:val="20"/>
      <w:szCs w:val="20"/>
      <w:lang w:eastAsia="en-US"/>
    </w:rPr>
  </w:style>
  <w:style w:type="character" w:customStyle="1" w:styleId="PiedepginaCar">
    <w:name w:val="Pie de página Car"/>
    <w:rsid w:val="008D0EA0"/>
    <w:rPr>
      <w:rFonts w:ascii="Arial" w:hAnsi="Arial"/>
      <w:sz w:val="24"/>
      <w:szCs w:val="24"/>
    </w:rPr>
  </w:style>
  <w:style w:type="paragraph" w:styleId="Textodeglobo">
    <w:name w:val="Balloon Text"/>
    <w:basedOn w:val="Normal"/>
    <w:rsid w:val="008D0EA0"/>
    <w:pPr>
      <w:spacing w:before="0" w:after="0"/>
    </w:pPr>
    <w:rPr>
      <w:rFonts w:ascii="Tahoma" w:hAnsi="Tahoma" w:cs="Tahoma"/>
      <w:sz w:val="16"/>
      <w:szCs w:val="16"/>
    </w:rPr>
  </w:style>
  <w:style w:type="character" w:customStyle="1" w:styleId="TextodegloboCar">
    <w:name w:val="Texto de globo Car"/>
    <w:rsid w:val="008D0EA0"/>
    <w:rPr>
      <w:rFonts w:ascii="Tahoma" w:hAnsi="Tahoma" w:cs="Tahoma"/>
      <w:sz w:val="16"/>
      <w:szCs w:val="16"/>
    </w:rPr>
  </w:style>
  <w:style w:type="character" w:customStyle="1" w:styleId="EncabezadoCar">
    <w:name w:val="Encabezado Car"/>
    <w:rsid w:val="008D0EA0"/>
    <w:rPr>
      <w:rFonts w:ascii="Arial" w:hAnsi="Arial"/>
      <w:sz w:val="24"/>
      <w:szCs w:val="24"/>
    </w:rPr>
  </w:style>
  <w:style w:type="paragraph" w:styleId="ndice2">
    <w:name w:val="index 2"/>
    <w:basedOn w:val="Normal"/>
    <w:next w:val="Normal"/>
    <w:autoRedefine/>
    <w:semiHidden/>
    <w:rsid w:val="008D0EA0"/>
    <w:pPr>
      <w:ind w:left="480" w:hanging="240"/>
    </w:pPr>
  </w:style>
  <w:style w:type="table" w:styleId="Tablaconcuadrcula">
    <w:name w:val="Table Grid"/>
    <w:basedOn w:val="Tablanormal"/>
    <w:rsid w:val="00F305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Car">
    <w:name w:val="Texto independiente Car"/>
    <w:link w:val="Textoindependiente"/>
    <w:rsid w:val="00D470B3"/>
    <w:rPr>
      <w:rFonts w:ascii="Arial" w:hAnsi="Arial" w:cs="Arial"/>
      <w:color w:val="000000"/>
      <w:lang w:val="es-ES" w:eastAsia="es-ES"/>
    </w:rPr>
  </w:style>
  <w:style w:type="character" w:customStyle="1" w:styleId="Ttulo1Car">
    <w:name w:val="Título 1 Car"/>
    <w:link w:val="Ttulo1"/>
    <w:rsid w:val="00B5388C"/>
    <w:rPr>
      <w:rFonts w:ascii="Arial" w:hAnsi="Arial" w:cs="Arial"/>
      <w:b/>
      <w:bCs/>
      <w:kern w:val="32"/>
      <w:sz w:val="24"/>
      <w:szCs w:val="32"/>
      <w:lang w:val="es-ES" w:eastAsia="es-ES"/>
    </w:rPr>
  </w:style>
  <w:style w:type="character" w:customStyle="1" w:styleId="Ttulo2Car">
    <w:name w:val="Título 2 Car"/>
    <w:link w:val="Ttulo2"/>
    <w:rsid w:val="00B5388C"/>
    <w:rPr>
      <w:rFonts w:ascii="Arial" w:hAnsi="Arial" w:cs="Arial"/>
      <w:bCs/>
      <w:i/>
      <w:color w:val="000000"/>
      <w:sz w:val="24"/>
      <w:szCs w:val="24"/>
      <w:lang w:val="es-ES" w:eastAsia="es-ES"/>
    </w:rPr>
  </w:style>
  <w:style w:type="character" w:customStyle="1" w:styleId="Sangra2detindependienteCar">
    <w:name w:val="Sangría 2 de t. independiente Car"/>
    <w:link w:val="Sangra2detindependiente"/>
    <w:rsid w:val="00B5388C"/>
    <w:rPr>
      <w:rFonts w:ascii="Arial" w:hAnsi="Arial"/>
      <w:sz w:val="24"/>
      <w:szCs w:val="24"/>
      <w:lang w:val="es-ES" w:eastAsia="es-ES"/>
    </w:rPr>
  </w:style>
  <w:style w:type="character" w:styleId="Refdecomentario">
    <w:name w:val="annotation reference"/>
    <w:rsid w:val="00B5388C"/>
    <w:rPr>
      <w:sz w:val="18"/>
      <w:szCs w:val="18"/>
    </w:rPr>
  </w:style>
  <w:style w:type="paragraph" w:styleId="Textocomentario">
    <w:name w:val="annotation text"/>
    <w:basedOn w:val="Normal"/>
    <w:link w:val="TextocomentarioCar"/>
    <w:rsid w:val="00B5388C"/>
  </w:style>
  <w:style w:type="character" w:customStyle="1" w:styleId="TextocomentarioCar">
    <w:name w:val="Texto comentario Car"/>
    <w:link w:val="Textocomentario"/>
    <w:rsid w:val="00B5388C"/>
    <w:rPr>
      <w:rFonts w:ascii="Arial" w:hAnsi="Arial"/>
      <w:sz w:val="24"/>
      <w:szCs w:val="24"/>
      <w:lang w:val="es-ES" w:eastAsia="es-ES"/>
    </w:rPr>
  </w:style>
  <w:style w:type="paragraph" w:styleId="Asuntodelcomentario">
    <w:name w:val="annotation subject"/>
    <w:basedOn w:val="Textocomentario"/>
    <w:next w:val="Textocomentario"/>
    <w:link w:val="AsuntodelcomentarioCar"/>
    <w:rsid w:val="00B5388C"/>
    <w:rPr>
      <w:b/>
      <w:bCs/>
    </w:rPr>
  </w:style>
  <w:style w:type="character" w:customStyle="1" w:styleId="AsuntodelcomentarioCar">
    <w:name w:val="Asunto del comentario Car"/>
    <w:link w:val="Asuntodelcomentario"/>
    <w:rsid w:val="00B5388C"/>
    <w:rPr>
      <w:rFonts w:ascii="Arial" w:hAnsi="Arial"/>
      <w:b/>
      <w:bCs/>
      <w:sz w:val="24"/>
      <w:szCs w:val="24"/>
      <w:lang w:val="es-ES" w:eastAsia="es-ES"/>
    </w:rPr>
  </w:style>
  <w:style w:type="character" w:styleId="Hipervnculovisitado">
    <w:name w:val="FollowedHyperlink"/>
    <w:basedOn w:val="Fuentedeprrafopredeter"/>
    <w:uiPriority w:val="99"/>
    <w:rsid w:val="00DD068D"/>
    <w:rPr>
      <w:color w:val="800080"/>
      <w:u w:val="single"/>
    </w:rPr>
  </w:style>
  <w:style w:type="paragraph" w:customStyle="1" w:styleId="font0">
    <w:name w:val="font0"/>
    <w:basedOn w:val="Normal"/>
    <w:rsid w:val="00DD068D"/>
    <w:pPr>
      <w:spacing w:beforeLines="1" w:afterLines="1"/>
    </w:pPr>
    <w:rPr>
      <w:sz w:val="20"/>
      <w:szCs w:val="20"/>
      <w:lang w:val="es-ES_tradnl" w:eastAsia="es-ES_tradnl"/>
    </w:rPr>
  </w:style>
  <w:style w:type="paragraph" w:customStyle="1" w:styleId="xl24">
    <w:name w:val="xl24"/>
    <w:basedOn w:val="Normal"/>
    <w:rsid w:val="00DD068D"/>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12"/>
      <w:szCs w:val="12"/>
      <w:lang w:val="es-ES_tradnl" w:eastAsia="es-ES_tradnl"/>
    </w:rPr>
  </w:style>
  <w:style w:type="paragraph" w:customStyle="1" w:styleId="xl25">
    <w:name w:val="xl25"/>
    <w:basedOn w:val="Normal"/>
    <w:rsid w:val="00DD068D"/>
    <w:pPr>
      <w:pBdr>
        <w:top w:val="single" w:sz="4" w:space="0" w:color="auto"/>
        <w:left w:val="single" w:sz="4" w:space="0" w:color="auto"/>
        <w:bottom w:val="single" w:sz="4" w:space="0" w:color="auto"/>
        <w:right w:val="single" w:sz="4" w:space="0" w:color="auto"/>
      </w:pBdr>
      <w:spacing w:beforeLines="1" w:afterLines="1"/>
      <w:jc w:val="right"/>
    </w:pPr>
    <w:rPr>
      <w:rFonts w:ascii="Times" w:hAnsi="Times"/>
      <w:sz w:val="12"/>
      <w:szCs w:val="12"/>
      <w:lang w:val="es-ES_tradnl" w:eastAsia="es-ES_tradnl"/>
    </w:rPr>
  </w:style>
  <w:style w:type="paragraph" w:customStyle="1" w:styleId="xl26">
    <w:name w:val="xl26"/>
    <w:basedOn w:val="Normal"/>
    <w:rsid w:val="00DD068D"/>
    <w:pPr>
      <w:pBdr>
        <w:top w:val="single" w:sz="4" w:space="0" w:color="auto"/>
        <w:left w:val="single" w:sz="4" w:space="0" w:color="auto"/>
        <w:bottom w:val="single" w:sz="4" w:space="0" w:color="auto"/>
        <w:right w:val="single" w:sz="4" w:space="0" w:color="auto"/>
      </w:pBdr>
      <w:spacing w:beforeLines="1" w:afterLines="1"/>
      <w:jc w:val="right"/>
    </w:pPr>
    <w:rPr>
      <w:rFonts w:ascii="Times" w:hAnsi="Times"/>
      <w:b/>
      <w:bCs/>
      <w:sz w:val="12"/>
      <w:szCs w:val="12"/>
      <w:lang w:val="es-ES_tradnl" w:eastAsia="es-ES_tradnl"/>
    </w:rPr>
  </w:style>
  <w:style w:type="paragraph" w:customStyle="1" w:styleId="xl27">
    <w:name w:val="xl27"/>
    <w:basedOn w:val="Normal"/>
    <w:rsid w:val="00DD068D"/>
    <w:pPr>
      <w:pBdr>
        <w:top w:val="single" w:sz="4" w:space="0" w:color="auto"/>
        <w:left w:val="single" w:sz="4" w:space="0" w:color="auto"/>
        <w:bottom w:val="single" w:sz="4" w:space="0" w:color="auto"/>
        <w:right w:val="single" w:sz="4" w:space="0" w:color="auto"/>
      </w:pBdr>
      <w:spacing w:beforeLines="1" w:afterLines="1"/>
      <w:jc w:val="right"/>
    </w:pPr>
    <w:rPr>
      <w:rFonts w:ascii="Times" w:hAnsi="Times"/>
      <w:color w:val="DD0806"/>
      <w:sz w:val="12"/>
      <w:szCs w:val="12"/>
      <w:lang w:val="es-ES_tradnl" w:eastAsia="es-ES_tradnl"/>
    </w:rPr>
  </w:style>
  <w:style w:type="paragraph" w:customStyle="1" w:styleId="xl28">
    <w:name w:val="xl28"/>
    <w:basedOn w:val="Normal"/>
    <w:rsid w:val="00DD068D"/>
    <w:pPr>
      <w:pBdr>
        <w:top w:val="single" w:sz="4" w:space="0" w:color="auto"/>
        <w:left w:val="single" w:sz="4" w:space="0" w:color="auto"/>
        <w:bottom w:val="single" w:sz="4" w:space="0" w:color="auto"/>
        <w:right w:val="single" w:sz="4" w:space="0" w:color="auto"/>
      </w:pBdr>
      <w:spacing w:beforeLines="1" w:afterLines="1"/>
    </w:pPr>
    <w:rPr>
      <w:rFonts w:ascii="Times" w:hAnsi="Times"/>
      <w:b/>
      <w:bCs/>
      <w:sz w:val="12"/>
      <w:szCs w:val="12"/>
      <w:lang w:val="es-ES_tradnl" w:eastAsia="es-ES_tradnl"/>
    </w:rPr>
  </w:style>
  <w:style w:type="paragraph" w:customStyle="1" w:styleId="xl29">
    <w:name w:val="xl29"/>
    <w:basedOn w:val="Normal"/>
    <w:rsid w:val="00DD068D"/>
    <w:pPr>
      <w:pBdr>
        <w:top w:val="single" w:sz="4" w:space="0" w:color="auto"/>
        <w:left w:val="single" w:sz="4" w:space="0" w:color="auto"/>
        <w:bottom w:val="single" w:sz="4" w:space="0" w:color="auto"/>
        <w:right w:val="single" w:sz="4" w:space="0" w:color="auto"/>
      </w:pBdr>
      <w:spacing w:beforeLines="1" w:afterLines="1"/>
      <w:jc w:val="center"/>
    </w:pPr>
    <w:rPr>
      <w:rFonts w:ascii="Times" w:hAnsi="Times"/>
      <w:b/>
      <w:bCs/>
      <w:sz w:val="12"/>
      <w:szCs w:val="12"/>
      <w:lang w:val="es-ES_tradnl" w:eastAsia="es-ES_tradnl"/>
    </w:rPr>
  </w:style>
  <w:style w:type="paragraph" w:customStyle="1" w:styleId="xl30">
    <w:name w:val="xl30"/>
    <w:basedOn w:val="Normal"/>
    <w:rsid w:val="00DD068D"/>
    <w:pPr>
      <w:pBdr>
        <w:top w:val="single" w:sz="4" w:space="0" w:color="auto"/>
        <w:left w:val="single" w:sz="4" w:space="0" w:color="auto"/>
        <w:bottom w:val="single" w:sz="4" w:space="0" w:color="auto"/>
        <w:right w:val="single" w:sz="4" w:space="0" w:color="auto"/>
      </w:pBdr>
      <w:spacing w:beforeLines="1" w:afterLines="1"/>
    </w:pPr>
    <w:rPr>
      <w:rFonts w:ascii="Times" w:hAnsi="Times"/>
      <w:sz w:val="12"/>
      <w:szCs w:val="12"/>
      <w:lang w:val="es-ES_tradnl" w:eastAsia="es-ES_tradnl"/>
    </w:rPr>
  </w:style>
  <w:style w:type="paragraph" w:customStyle="1" w:styleId="xl31">
    <w:name w:val="xl31"/>
    <w:basedOn w:val="Normal"/>
    <w:rsid w:val="00DD068D"/>
    <w:pPr>
      <w:pBdr>
        <w:top w:val="single" w:sz="4" w:space="0" w:color="auto"/>
        <w:left w:val="single" w:sz="4" w:space="0" w:color="auto"/>
        <w:bottom w:val="single" w:sz="4" w:space="0" w:color="auto"/>
        <w:right w:val="single" w:sz="4" w:space="0" w:color="auto"/>
      </w:pBdr>
      <w:spacing w:beforeLines="1" w:afterLines="1"/>
    </w:pPr>
    <w:rPr>
      <w:rFonts w:ascii="Times" w:hAnsi="Times"/>
      <w:sz w:val="12"/>
      <w:szCs w:val="12"/>
      <w:lang w:val="es-ES_tradnl" w:eastAsia="es-ES_tradnl"/>
    </w:rPr>
  </w:style>
  <w:style w:type="paragraph" w:customStyle="1" w:styleId="xl32">
    <w:name w:val="xl32"/>
    <w:basedOn w:val="Normal"/>
    <w:rsid w:val="00DD068D"/>
    <w:pPr>
      <w:pBdr>
        <w:top w:val="single" w:sz="4" w:space="0" w:color="auto"/>
        <w:left w:val="single" w:sz="4" w:space="0" w:color="auto"/>
        <w:bottom w:val="single" w:sz="4" w:space="0" w:color="auto"/>
        <w:right w:val="single" w:sz="4" w:space="0" w:color="auto"/>
      </w:pBdr>
      <w:spacing w:beforeLines="1" w:afterLines="1"/>
    </w:pPr>
    <w:rPr>
      <w:rFonts w:ascii="Times" w:hAnsi="Times"/>
      <w:b/>
      <w:bCs/>
      <w:sz w:val="12"/>
      <w:szCs w:val="12"/>
      <w:lang w:val="es-ES_tradnl" w:eastAsia="es-ES_tradnl"/>
    </w:rPr>
  </w:style>
  <w:style w:type="paragraph" w:customStyle="1" w:styleId="xl33">
    <w:name w:val="xl33"/>
    <w:basedOn w:val="Normal"/>
    <w:rsid w:val="00DD068D"/>
    <w:pPr>
      <w:pBdr>
        <w:top w:val="single" w:sz="4" w:space="0" w:color="auto"/>
        <w:left w:val="single" w:sz="4" w:space="0" w:color="auto"/>
        <w:bottom w:val="single" w:sz="4" w:space="0" w:color="auto"/>
      </w:pBdr>
      <w:spacing w:beforeLines="1" w:afterLines="1"/>
      <w:jc w:val="center"/>
    </w:pPr>
    <w:rPr>
      <w:rFonts w:ascii="Times" w:hAnsi="Times"/>
      <w:b/>
      <w:bCs/>
      <w:sz w:val="12"/>
      <w:szCs w:val="12"/>
      <w:lang w:val="es-ES_tradnl" w:eastAsia="es-ES_tradnl"/>
    </w:rPr>
  </w:style>
  <w:style w:type="paragraph" w:customStyle="1" w:styleId="xl34">
    <w:name w:val="xl34"/>
    <w:basedOn w:val="Normal"/>
    <w:rsid w:val="00DD068D"/>
    <w:pPr>
      <w:pBdr>
        <w:top w:val="single" w:sz="4" w:space="0" w:color="auto"/>
        <w:bottom w:val="single" w:sz="4" w:space="0" w:color="auto"/>
      </w:pBdr>
      <w:spacing w:beforeLines="1" w:afterLines="1"/>
      <w:jc w:val="center"/>
    </w:pPr>
    <w:rPr>
      <w:rFonts w:ascii="Times" w:hAnsi="Times"/>
      <w:sz w:val="12"/>
      <w:szCs w:val="12"/>
      <w:lang w:val="es-ES_tradnl" w:eastAsia="es-ES_tradnl"/>
    </w:rPr>
  </w:style>
  <w:style w:type="paragraph" w:customStyle="1" w:styleId="xl35">
    <w:name w:val="xl35"/>
    <w:basedOn w:val="Normal"/>
    <w:rsid w:val="00DD068D"/>
    <w:pPr>
      <w:pBdr>
        <w:top w:val="single" w:sz="4" w:space="0" w:color="auto"/>
        <w:bottom w:val="single" w:sz="4" w:space="0" w:color="auto"/>
        <w:right w:val="single" w:sz="4" w:space="0" w:color="auto"/>
      </w:pBdr>
      <w:spacing w:beforeLines="1" w:afterLines="1"/>
      <w:jc w:val="center"/>
    </w:pPr>
    <w:rPr>
      <w:rFonts w:ascii="Times" w:hAnsi="Times"/>
      <w:sz w:val="12"/>
      <w:szCs w:val="12"/>
      <w:lang w:val="es-ES_tradnl" w:eastAsia="es-ES_tradnl"/>
    </w:rPr>
  </w:style>
  <w:style w:type="paragraph" w:customStyle="1" w:styleId="xl36">
    <w:name w:val="xl36"/>
    <w:basedOn w:val="Normal"/>
    <w:rsid w:val="00DD068D"/>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hAnsi="Times"/>
      <w:b/>
      <w:bCs/>
      <w:sz w:val="12"/>
      <w:szCs w:val="12"/>
      <w:lang w:val="es-ES_tradnl" w:eastAsia="es-ES_tradnl"/>
    </w:rPr>
  </w:style>
  <w:style w:type="paragraph" w:styleId="Prrafodelista">
    <w:name w:val="List Paragraph"/>
    <w:basedOn w:val="Normal"/>
    <w:uiPriority w:val="72"/>
    <w:qFormat/>
    <w:rsid w:val="008E712E"/>
    <w:pPr>
      <w:ind w:left="720"/>
      <w:contextualSpacing/>
    </w:pPr>
  </w:style>
  <w:style w:type="paragraph" w:styleId="Listaconnmeros2">
    <w:name w:val="List Number 2"/>
    <w:basedOn w:val="Normal"/>
    <w:rsid w:val="008E712E"/>
    <w:pPr>
      <w:numPr>
        <w:numId w:val="47"/>
      </w:numPr>
      <w:spacing w:before="0" w:after="0"/>
      <w:contextualSpacing/>
    </w:pPr>
    <w:rPr>
      <w:rFonts w:ascii="CG Times (WN)" w:hAnsi="CG Times (WN)"/>
      <w:sz w:val="20"/>
      <w:szCs w:val="20"/>
      <w:lang w:val="es-ES_tradnl" w:eastAsia="en-US"/>
    </w:rPr>
  </w:style>
  <w:style w:type="paragraph" w:customStyle="1" w:styleId="ListNumber3Left137cm">
    <w:name w:val="List Number 3 + Left:  137 cm"/>
    <w:basedOn w:val="Listaconnmeros3"/>
    <w:qFormat/>
    <w:rsid w:val="008E712E"/>
    <w:pPr>
      <w:numPr>
        <w:numId w:val="0"/>
      </w:numPr>
      <w:spacing w:before="0" w:after="240"/>
      <w:ind w:left="1071" w:hanging="357"/>
      <w:contextualSpacing w:val="0"/>
      <w:jc w:val="both"/>
    </w:pPr>
    <w:rPr>
      <w:rFonts w:ascii="Calibri" w:hAnsi="Calibri"/>
      <w:sz w:val="20"/>
      <w:szCs w:val="20"/>
      <w:lang w:val="es-ES_tradnl" w:eastAsia="en-US"/>
    </w:rPr>
  </w:style>
  <w:style w:type="paragraph" w:styleId="Listaconnmeros">
    <w:name w:val="List Number"/>
    <w:basedOn w:val="Normal"/>
    <w:rsid w:val="008E712E"/>
    <w:pPr>
      <w:numPr>
        <w:numId w:val="50"/>
      </w:numPr>
      <w:spacing w:before="0" w:after="0"/>
      <w:contextualSpacing/>
    </w:pPr>
    <w:rPr>
      <w:rFonts w:ascii="CG Times (WN)" w:hAnsi="CG Times (WN)"/>
      <w:sz w:val="20"/>
      <w:szCs w:val="20"/>
      <w:lang w:val="es-ES_tradnl" w:eastAsia="en-US"/>
    </w:rPr>
  </w:style>
  <w:style w:type="paragraph" w:styleId="Listaconnmeros3">
    <w:name w:val="List Number 3"/>
    <w:basedOn w:val="Normal"/>
    <w:semiHidden/>
    <w:unhideWhenUsed/>
    <w:rsid w:val="008E712E"/>
    <w:pPr>
      <w:numPr>
        <w:numId w:val="49"/>
      </w:numPr>
      <w:contextualSpacing/>
    </w:pPr>
  </w:style>
  <w:style w:type="character" w:customStyle="1" w:styleId="Ttulo3Car">
    <w:name w:val="Título 3 Car"/>
    <w:basedOn w:val="Fuentedeprrafopredeter"/>
    <w:link w:val="Ttulo3"/>
    <w:rsid w:val="00A346E5"/>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4546">
      <w:bodyDiv w:val="1"/>
      <w:marLeft w:val="0"/>
      <w:marRight w:val="0"/>
      <w:marTop w:val="0"/>
      <w:marBottom w:val="0"/>
      <w:divBdr>
        <w:top w:val="none" w:sz="0" w:space="0" w:color="auto"/>
        <w:left w:val="none" w:sz="0" w:space="0" w:color="auto"/>
        <w:bottom w:val="none" w:sz="0" w:space="0" w:color="auto"/>
        <w:right w:val="none" w:sz="0" w:space="0" w:color="auto"/>
      </w:divBdr>
    </w:div>
    <w:div w:id="213126586">
      <w:bodyDiv w:val="1"/>
      <w:marLeft w:val="0"/>
      <w:marRight w:val="0"/>
      <w:marTop w:val="0"/>
      <w:marBottom w:val="0"/>
      <w:divBdr>
        <w:top w:val="none" w:sz="0" w:space="0" w:color="auto"/>
        <w:left w:val="none" w:sz="0" w:space="0" w:color="auto"/>
        <w:bottom w:val="none" w:sz="0" w:space="0" w:color="auto"/>
        <w:right w:val="none" w:sz="0" w:space="0" w:color="auto"/>
      </w:divBdr>
    </w:div>
    <w:div w:id="395788406">
      <w:bodyDiv w:val="1"/>
      <w:marLeft w:val="0"/>
      <w:marRight w:val="0"/>
      <w:marTop w:val="0"/>
      <w:marBottom w:val="0"/>
      <w:divBdr>
        <w:top w:val="none" w:sz="0" w:space="0" w:color="auto"/>
        <w:left w:val="none" w:sz="0" w:space="0" w:color="auto"/>
        <w:bottom w:val="none" w:sz="0" w:space="0" w:color="auto"/>
        <w:right w:val="none" w:sz="0" w:space="0" w:color="auto"/>
      </w:divBdr>
    </w:div>
    <w:div w:id="499348551">
      <w:bodyDiv w:val="1"/>
      <w:marLeft w:val="0"/>
      <w:marRight w:val="0"/>
      <w:marTop w:val="0"/>
      <w:marBottom w:val="0"/>
      <w:divBdr>
        <w:top w:val="none" w:sz="0" w:space="0" w:color="auto"/>
        <w:left w:val="none" w:sz="0" w:space="0" w:color="auto"/>
        <w:bottom w:val="none" w:sz="0" w:space="0" w:color="auto"/>
        <w:right w:val="none" w:sz="0" w:space="0" w:color="auto"/>
      </w:divBdr>
    </w:div>
    <w:div w:id="523712498">
      <w:bodyDiv w:val="1"/>
      <w:marLeft w:val="0"/>
      <w:marRight w:val="0"/>
      <w:marTop w:val="0"/>
      <w:marBottom w:val="0"/>
      <w:divBdr>
        <w:top w:val="none" w:sz="0" w:space="0" w:color="auto"/>
        <w:left w:val="none" w:sz="0" w:space="0" w:color="auto"/>
        <w:bottom w:val="none" w:sz="0" w:space="0" w:color="auto"/>
        <w:right w:val="none" w:sz="0" w:space="0" w:color="auto"/>
      </w:divBdr>
    </w:div>
    <w:div w:id="653529356">
      <w:bodyDiv w:val="1"/>
      <w:marLeft w:val="0"/>
      <w:marRight w:val="0"/>
      <w:marTop w:val="0"/>
      <w:marBottom w:val="0"/>
      <w:divBdr>
        <w:top w:val="none" w:sz="0" w:space="0" w:color="auto"/>
        <w:left w:val="none" w:sz="0" w:space="0" w:color="auto"/>
        <w:bottom w:val="none" w:sz="0" w:space="0" w:color="auto"/>
        <w:right w:val="none" w:sz="0" w:space="0" w:color="auto"/>
      </w:divBdr>
    </w:div>
    <w:div w:id="658079171">
      <w:bodyDiv w:val="1"/>
      <w:marLeft w:val="0"/>
      <w:marRight w:val="0"/>
      <w:marTop w:val="0"/>
      <w:marBottom w:val="0"/>
      <w:divBdr>
        <w:top w:val="none" w:sz="0" w:space="0" w:color="auto"/>
        <w:left w:val="none" w:sz="0" w:space="0" w:color="auto"/>
        <w:bottom w:val="none" w:sz="0" w:space="0" w:color="auto"/>
        <w:right w:val="none" w:sz="0" w:space="0" w:color="auto"/>
      </w:divBdr>
    </w:div>
    <w:div w:id="687372758">
      <w:bodyDiv w:val="1"/>
      <w:marLeft w:val="0"/>
      <w:marRight w:val="0"/>
      <w:marTop w:val="0"/>
      <w:marBottom w:val="0"/>
      <w:divBdr>
        <w:top w:val="none" w:sz="0" w:space="0" w:color="auto"/>
        <w:left w:val="none" w:sz="0" w:space="0" w:color="auto"/>
        <w:bottom w:val="none" w:sz="0" w:space="0" w:color="auto"/>
        <w:right w:val="none" w:sz="0" w:space="0" w:color="auto"/>
      </w:divBdr>
    </w:div>
    <w:div w:id="926815701">
      <w:bodyDiv w:val="1"/>
      <w:marLeft w:val="0"/>
      <w:marRight w:val="0"/>
      <w:marTop w:val="0"/>
      <w:marBottom w:val="0"/>
      <w:divBdr>
        <w:top w:val="none" w:sz="0" w:space="0" w:color="auto"/>
        <w:left w:val="none" w:sz="0" w:space="0" w:color="auto"/>
        <w:bottom w:val="none" w:sz="0" w:space="0" w:color="auto"/>
        <w:right w:val="none" w:sz="0" w:space="0" w:color="auto"/>
      </w:divBdr>
    </w:div>
    <w:div w:id="993722701">
      <w:bodyDiv w:val="1"/>
      <w:marLeft w:val="0"/>
      <w:marRight w:val="0"/>
      <w:marTop w:val="0"/>
      <w:marBottom w:val="0"/>
      <w:divBdr>
        <w:top w:val="none" w:sz="0" w:space="0" w:color="auto"/>
        <w:left w:val="none" w:sz="0" w:space="0" w:color="auto"/>
        <w:bottom w:val="none" w:sz="0" w:space="0" w:color="auto"/>
        <w:right w:val="none" w:sz="0" w:space="0" w:color="auto"/>
      </w:divBdr>
    </w:div>
    <w:div w:id="1091240970">
      <w:bodyDiv w:val="1"/>
      <w:marLeft w:val="0"/>
      <w:marRight w:val="0"/>
      <w:marTop w:val="0"/>
      <w:marBottom w:val="0"/>
      <w:divBdr>
        <w:top w:val="none" w:sz="0" w:space="0" w:color="auto"/>
        <w:left w:val="none" w:sz="0" w:space="0" w:color="auto"/>
        <w:bottom w:val="none" w:sz="0" w:space="0" w:color="auto"/>
        <w:right w:val="none" w:sz="0" w:space="0" w:color="auto"/>
      </w:divBdr>
    </w:div>
    <w:div w:id="1108891910">
      <w:bodyDiv w:val="1"/>
      <w:marLeft w:val="0"/>
      <w:marRight w:val="0"/>
      <w:marTop w:val="0"/>
      <w:marBottom w:val="0"/>
      <w:divBdr>
        <w:top w:val="none" w:sz="0" w:space="0" w:color="auto"/>
        <w:left w:val="none" w:sz="0" w:space="0" w:color="auto"/>
        <w:bottom w:val="none" w:sz="0" w:space="0" w:color="auto"/>
        <w:right w:val="none" w:sz="0" w:space="0" w:color="auto"/>
      </w:divBdr>
    </w:div>
    <w:div w:id="1150440223">
      <w:bodyDiv w:val="1"/>
      <w:marLeft w:val="0"/>
      <w:marRight w:val="0"/>
      <w:marTop w:val="0"/>
      <w:marBottom w:val="0"/>
      <w:divBdr>
        <w:top w:val="none" w:sz="0" w:space="0" w:color="auto"/>
        <w:left w:val="none" w:sz="0" w:space="0" w:color="auto"/>
        <w:bottom w:val="none" w:sz="0" w:space="0" w:color="auto"/>
        <w:right w:val="none" w:sz="0" w:space="0" w:color="auto"/>
      </w:divBdr>
    </w:div>
    <w:div w:id="1158837851">
      <w:bodyDiv w:val="1"/>
      <w:marLeft w:val="0"/>
      <w:marRight w:val="0"/>
      <w:marTop w:val="0"/>
      <w:marBottom w:val="0"/>
      <w:divBdr>
        <w:top w:val="none" w:sz="0" w:space="0" w:color="auto"/>
        <w:left w:val="none" w:sz="0" w:space="0" w:color="auto"/>
        <w:bottom w:val="none" w:sz="0" w:space="0" w:color="auto"/>
        <w:right w:val="none" w:sz="0" w:space="0" w:color="auto"/>
      </w:divBdr>
    </w:div>
    <w:div w:id="1160658510">
      <w:bodyDiv w:val="1"/>
      <w:marLeft w:val="0"/>
      <w:marRight w:val="0"/>
      <w:marTop w:val="0"/>
      <w:marBottom w:val="0"/>
      <w:divBdr>
        <w:top w:val="none" w:sz="0" w:space="0" w:color="auto"/>
        <w:left w:val="none" w:sz="0" w:space="0" w:color="auto"/>
        <w:bottom w:val="none" w:sz="0" w:space="0" w:color="auto"/>
        <w:right w:val="none" w:sz="0" w:space="0" w:color="auto"/>
      </w:divBdr>
    </w:div>
    <w:div w:id="1184132158">
      <w:bodyDiv w:val="1"/>
      <w:marLeft w:val="0"/>
      <w:marRight w:val="0"/>
      <w:marTop w:val="0"/>
      <w:marBottom w:val="0"/>
      <w:divBdr>
        <w:top w:val="none" w:sz="0" w:space="0" w:color="auto"/>
        <w:left w:val="none" w:sz="0" w:space="0" w:color="auto"/>
        <w:bottom w:val="none" w:sz="0" w:space="0" w:color="auto"/>
        <w:right w:val="none" w:sz="0" w:space="0" w:color="auto"/>
      </w:divBdr>
    </w:div>
    <w:div w:id="1213275725">
      <w:bodyDiv w:val="1"/>
      <w:marLeft w:val="0"/>
      <w:marRight w:val="0"/>
      <w:marTop w:val="0"/>
      <w:marBottom w:val="0"/>
      <w:divBdr>
        <w:top w:val="none" w:sz="0" w:space="0" w:color="auto"/>
        <w:left w:val="none" w:sz="0" w:space="0" w:color="auto"/>
        <w:bottom w:val="none" w:sz="0" w:space="0" w:color="auto"/>
        <w:right w:val="none" w:sz="0" w:space="0" w:color="auto"/>
      </w:divBdr>
    </w:div>
    <w:div w:id="1480338456">
      <w:bodyDiv w:val="1"/>
      <w:marLeft w:val="0"/>
      <w:marRight w:val="0"/>
      <w:marTop w:val="0"/>
      <w:marBottom w:val="0"/>
      <w:divBdr>
        <w:top w:val="none" w:sz="0" w:space="0" w:color="auto"/>
        <w:left w:val="none" w:sz="0" w:space="0" w:color="auto"/>
        <w:bottom w:val="none" w:sz="0" w:space="0" w:color="auto"/>
        <w:right w:val="none" w:sz="0" w:space="0" w:color="auto"/>
      </w:divBdr>
    </w:div>
    <w:div w:id="1480658963">
      <w:bodyDiv w:val="1"/>
      <w:marLeft w:val="0"/>
      <w:marRight w:val="0"/>
      <w:marTop w:val="0"/>
      <w:marBottom w:val="0"/>
      <w:divBdr>
        <w:top w:val="none" w:sz="0" w:space="0" w:color="auto"/>
        <w:left w:val="none" w:sz="0" w:space="0" w:color="auto"/>
        <w:bottom w:val="none" w:sz="0" w:space="0" w:color="auto"/>
        <w:right w:val="none" w:sz="0" w:space="0" w:color="auto"/>
      </w:divBdr>
    </w:div>
    <w:div w:id="1546677813">
      <w:bodyDiv w:val="1"/>
      <w:marLeft w:val="0"/>
      <w:marRight w:val="0"/>
      <w:marTop w:val="0"/>
      <w:marBottom w:val="0"/>
      <w:divBdr>
        <w:top w:val="none" w:sz="0" w:space="0" w:color="auto"/>
        <w:left w:val="none" w:sz="0" w:space="0" w:color="auto"/>
        <w:bottom w:val="none" w:sz="0" w:space="0" w:color="auto"/>
        <w:right w:val="none" w:sz="0" w:space="0" w:color="auto"/>
      </w:divBdr>
    </w:div>
    <w:div w:id="1654945510">
      <w:bodyDiv w:val="1"/>
      <w:marLeft w:val="0"/>
      <w:marRight w:val="0"/>
      <w:marTop w:val="0"/>
      <w:marBottom w:val="0"/>
      <w:divBdr>
        <w:top w:val="none" w:sz="0" w:space="0" w:color="auto"/>
        <w:left w:val="none" w:sz="0" w:space="0" w:color="auto"/>
        <w:bottom w:val="none" w:sz="0" w:space="0" w:color="auto"/>
        <w:right w:val="none" w:sz="0" w:space="0" w:color="auto"/>
      </w:divBdr>
    </w:div>
    <w:div w:id="1720350955">
      <w:bodyDiv w:val="1"/>
      <w:marLeft w:val="0"/>
      <w:marRight w:val="0"/>
      <w:marTop w:val="0"/>
      <w:marBottom w:val="0"/>
      <w:divBdr>
        <w:top w:val="none" w:sz="0" w:space="0" w:color="auto"/>
        <w:left w:val="none" w:sz="0" w:space="0" w:color="auto"/>
        <w:bottom w:val="none" w:sz="0" w:space="0" w:color="auto"/>
        <w:right w:val="none" w:sz="0" w:space="0" w:color="auto"/>
      </w:divBdr>
    </w:div>
    <w:div w:id="1814441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Hoja_de_c_lculo_de_Microsoft_Excel_97-20034.xls"/><Relationship Id="rId26" Type="http://schemas.openxmlformats.org/officeDocument/2006/relationships/image" Target="media/image11.emf"/><Relationship Id="rId39" Type="http://schemas.openxmlformats.org/officeDocument/2006/relationships/oleObject" Target="embeddings/Hoja_de_c_lculo_de_Microsoft_Excel_97-200314.xls"/><Relationship Id="rId21" Type="http://schemas.openxmlformats.org/officeDocument/2006/relationships/oleObject" Target="embeddings/Hoja_de_c_lculo_de_Microsoft_Excel_97-20035.xls"/><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Hoja_de_c_lculo_de_Microsoft_Excel_97-200318.xls"/><Relationship Id="rId50" Type="http://schemas.openxmlformats.org/officeDocument/2006/relationships/image" Target="media/image23.emf"/><Relationship Id="rId55" Type="http://schemas.openxmlformats.org/officeDocument/2006/relationships/oleObject" Target="embeddings/Hoja_de_c_lculo_de_Microsoft_Excel_97-200322.xls"/><Relationship Id="rId63" Type="http://schemas.openxmlformats.org/officeDocument/2006/relationships/oleObject" Target="embeddings/Hoja_de_c_lculo_de_Microsoft_Excel_97-200326.xls"/><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Hoja_de_c_lculo_de_Microsoft_Excel_97-200330.xls"/><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Hoja_de_c_lculo_de_Microsoft_Excel_97-20033.xls"/><Relationship Id="rId29" Type="http://schemas.openxmlformats.org/officeDocument/2006/relationships/oleObject" Target="embeddings/Hoja_de_c_lculo_de_Microsoft_Excel_97-20039.xls"/><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Hoja_de_c_lculo_de_Microsoft_Excel_97-200313.xls"/><Relationship Id="rId40" Type="http://schemas.openxmlformats.org/officeDocument/2006/relationships/image" Target="media/image18.emf"/><Relationship Id="rId45" Type="http://schemas.openxmlformats.org/officeDocument/2006/relationships/oleObject" Target="embeddings/Hoja_de_c_lculo_de_Microsoft_Excel_97-200317.xls"/><Relationship Id="rId53" Type="http://schemas.openxmlformats.org/officeDocument/2006/relationships/oleObject" Target="embeddings/Hoja_de_c_lculo_de_Microsoft_Excel_97-200321.xls"/><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Hoja_de_c_lculo_de_Microsoft_Excel_97-200334.xls"/><Relationship Id="rId87" Type="http://schemas.openxmlformats.org/officeDocument/2006/relationships/oleObject" Target="embeddings/Hoja_de_c_lculo_de_Microsoft_Excel_97-200338.xls"/><Relationship Id="rId5" Type="http://schemas.openxmlformats.org/officeDocument/2006/relationships/webSettings" Target="webSettings.xml"/><Relationship Id="rId61" Type="http://schemas.openxmlformats.org/officeDocument/2006/relationships/oleObject" Target="embeddings/Hoja_de_c_lculo_de_Microsoft_Excel_97-200325.xls"/><Relationship Id="rId82" Type="http://schemas.openxmlformats.org/officeDocument/2006/relationships/image" Target="media/image39.emf"/><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Hoja_de_c_lculo_de_Microsoft_Excel_97-20032.xls"/><Relationship Id="rId22" Type="http://schemas.openxmlformats.org/officeDocument/2006/relationships/image" Target="media/image9.emf"/><Relationship Id="rId27" Type="http://schemas.openxmlformats.org/officeDocument/2006/relationships/oleObject" Target="embeddings/Hoja_de_c_lculo_de_Microsoft_Excel_97-20038.xls"/><Relationship Id="rId30" Type="http://schemas.openxmlformats.org/officeDocument/2006/relationships/image" Target="media/image13.emf"/><Relationship Id="rId35" Type="http://schemas.openxmlformats.org/officeDocument/2006/relationships/oleObject" Target="embeddings/Hoja_de_c_lculo_de_Microsoft_Excel_97-200312.xls"/><Relationship Id="rId43" Type="http://schemas.openxmlformats.org/officeDocument/2006/relationships/oleObject" Target="embeddings/Hoja_de_c_lculo_de_Microsoft_Excel_97-200316.xls"/><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Hoja_de_c_lculo_de_Microsoft_Excel_97-200329.xls"/><Relationship Id="rId77" Type="http://schemas.openxmlformats.org/officeDocument/2006/relationships/oleObject" Target="embeddings/Hoja_de_c_lculo_de_Microsoft_Excel_97-200333.xls"/><Relationship Id="rId8" Type="http://schemas.openxmlformats.org/officeDocument/2006/relationships/image" Target="media/image1.emf"/><Relationship Id="rId51" Type="http://schemas.openxmlformats.org/officeDocument/2006/relationships/oleObject" Target="embeddings/Hoja_de_c_lculo_de_Microsoft_Excel_97-200320.xls"/><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Hoja_de_c_lculo_de_Microsoft_Excel_97-200337.xls"/><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oleObject" Target="embeddings/Hoja_de_c_lculo_de_Microsoft_Excel_97-20031.xls"/><Relationship Id="rId17" Type="http://schemas.openxmlformats.org/officeDocument/2006/relationships/image" Target="media/image6.emf"/><Relationship Id="rId25" Type="http://schemas.openxmlformats.org/officeDocument/2006/relationships/oleObject" Target="embeddings/Hoja_de_c_lculo_de_Microsoft_Excel_97-20037.xls"/><Relationship Id="rId33" Type="http://schemas.openxmlformats.org/officeDocument/2006/relationships/oleObject" Target="embeddings/Hoja_de_c_lculo_de_Microsoft_Excel_97-200311.xls"/><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Hoja_de_c_lculo_de_Microsoft_Excel_97-200324.xls"/><Relationship Id="rId67" Type="http://schemas.openxmlformats.org/officeDocument/2006/relationships/oleObject" Target="embeddings/Hoja_de_c_lculo_de_Microsoft_Excel_97-200328.xls"/><Relationship Id="rId20" Type="http://schemas.openxmlformats.org/officeDocument/2006/relationships/image" Target="media/image8.emf"/><Relationship Id="rId41" Type="http://schemas.openxmlformats.org/officeDocument/2006/relationships/oleObject" Target="embeddings/Hoja_de_c_lculo_de_Microsoft_Excel_97-200315.xls"/><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Hoja_de_c_lculo_de_Microsoft_Excel_97-200332.xls"/><Relationship Id="rId83" Type="http://schemas.openxmlformats.org/officeDocument/2006/relationships/oleObject" Target="embeddings/Hoja_de_c_lculo_de_Microsoft_Excel_97-200336.xls"/><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Hoja_de_c_lculo_de_Microsoft_Excel_97-20036.xls"/><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Hoja_de_c_lculo_de_Microsoft_Excel_97-200319.xls"/><Relationship Id="rId57" Type="http://schemas.openxmlformats.org/officeDocument/2006/relationships/oleObject" Target="embeddings/Hoja_de_c_lculo_de_Microsoft_Excel_97-200323.xls"/><Relationship Id="rId10" Type="http://schemas.openxmlformats.org/officeDocument/2006/relationships/image" Target="media/image2.emf"/><Relationship Id="rId31" Type="http://schemas.openxmlformats.org/officeDocument/2006/relationships/oleObject" Target="embeddings/Hoja_de_c_lculo_de_Microsoft_Excel_97-200310.xls"/><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Hoja_de_c_lculo_de_Microsoft_Excel_97-200327.xls"/><Relationship Id="rId73" Type="http://schemas.openxmlformats.org/officeDocument/2006/relationships/oleObject" Target="embeddings/Hoja_de_c_lculo_de_Microsoft_Excel_97-200331.xls"/><Relationship Id="rId78" Type="http://schemas.openxmlformats.org/officeDocument/2006/relationships/image" Target="media/image37.emf"/><Relationship Id="rId81" Type="http://schemas.openxmlformats.org/officeDocument/2006/relationships/oleObject" Target="embeddings/Hoja_de_c_lculo_de_Microsoft_Excel_97-200335.xls"/><Relationship Id="rId86" Type="http://schemas.openxmlformats.org/officeDocument/2006/relationships/image" Target="media/image41.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Hoja_de_c_lculo_de_Microsoft_Excel_97-2003.xls"/></Relationships>
</file>

<file path=word/_rels/header2.xml.rels><?xml version="1.0" encoding="UTF-8" standalone="yes"?>
<Relationships xmlns="http://schemas.openxmlformats.org/package/2006/relationships"><Relationship Id="rId1" Type="http://schemas.openxmlformats.org/officeDocument/2006/relationships/image" Target="media/image4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4F305-46DF-4694-A125-F239F14E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52</Pages>
  <Words>13746</Words>
  <Characters>75608</Characters>
  <Application>Microsoft Office Word</Application>
  <DocSecurity>0</DocSecurity>
  <Lines>630</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Borrador de Memoria</vt:lpstr>
      <vt:lpstr>Borrador de Memoria</vt:lpstr>
    </vt:vector>
  </TitlesOfParts>
  <Company>REA</Company>
  <LinksUpToDate>false</LinksUpToDate>
  <CharactersWithSpaces>89176</CharactersWithSpaces>
  <SharedDoc>false</SharedDoc>
  <HLinks>
    <vt:vector size="354" baseType="variant">
      <vt:variant>
        <vt:i4>5636151</vt:i4>
      </vt:variant>
      <vt:variant>
        <vt:i4>176</vt:i4>
      </vt:variant>
      <vt:variant>
        <vt:i4>0</vt:i4>
      </vt:variant>
      <vt:variant>
        <vt:i4>5</vt:i4>
      </vt:variant>
      <vt:variant>
        <vt:lpwstr/>
      </vt:variant>
      <vt:variant>
        <vt:lpwstr>_27.__Informaci%C3%B3n</vt:lpwstr>
      </vt:variant>
      <vt:variant>
        <vt:i4>5636150</vt:i4>
      </vt:variant>
      <vt:variant>
        <vt:i4>173</vt:i4>
      </vt:variant>
      <vt:variant>
        <vt:i4>0</vt:i4>
      </vt:variant>
      <vt:variant>
        <vt:i4>5</vt:i4>
      </vt:variant>
      <vt:variant>
        <vt:lpwstr/>
      </vt:variant>
      <vt:variant>
        <vt:lpwstr>_26.__Informaci%C3%B3n</vt:lpwstr>
      </vt:variant>
      <vt:variant>
        <vt:i4>5636149</vt:i4>
      </vt:variant>
      <vt:variant>
        <vt:i4>170</vt:i4>
      </vt:variant>
      <vt:variant>
        <vt:i4>0</vt:i4>
      </vt:variant>
      <vt:variant>
        <vt:i4>5</vt:i4>
      </vt:variant>
      <vt:variant>
        <vt:lpwstr/>
      </vt:variant>
      <vt:variant>
        <vt:lpwstr>_25.__Informaci%C3%B3n</vt:lpwstr>
      </vt:variant>
      <vt:variant>
        <vt:i4>5636137</vt:i4>
      </vt:variant>
      <vt:variant>
        <vt:i4>167</vt:i4>
      </vt:variant>
      <vt:variant>
        <vt:i4>0</vt:i4>
      </vt:variant>
      <vt:variant>
        <vt:i4>5</vt:i4>
      </vt:variant>
      <vt:variant>
        <vt:lpwstr/>
      </vt:variant>
      <vt:variant>
        <vt:lpwstr>_24.__Otra</vt:lpwstr>
      </vt:variant>
      <vt:variant>
        <vt:i4>2621484</vt:i4>
      </vt:variant>
      <vt:variant>
        <vt:i4>164</vt:i4>
      </vt:variant>
      <vt:variant>
        <vt:i4>0</vt:i4>
      </vt:variant>
      <vt:variant>
        <vt:i4>5</vt:i4>
      </vt:variant>
      <vt:variant>
        <vt:lpwstr/>
      </vt:variant>
      <vt:variant>
        <vt:lpwstr>_23.__Operaciones</vt:lpwstr>
      </vt:variant>
      <vt:variant>
        <vt:i4>3997782</vt:i4>
      </vt:variant>
      <vt:variant>
        <vt:i4>161</vt:i4>
      </vt:variant>
      <vt:variant>
        <vt:i4>0</vt:i4>
      </vt:variant>
      <vt:variant>
        <vt:i4>5</vt:i4>
      </vt:variant>
      <vt:variant>
        <vt:lpwstr/>
      </vt:variant>
      <vt:variant>
        <vt:lpwstr>_22.__Hechos</vt:lpwstr>
      </vt:variant>
      <vt:variant>
        <vt:i4>2490401</vt:i4>
      </vt:variant>
      <vt:variant>
        <vt:i4>158</vt:i4>
      </vt:variant>
      <vt:variant>
        <vt:i4>0</vt:i4>
      </vt:variant>
      <vt:variant>
        <vt:i4>5</vt:i4>
      </vt:variant>
      <vt:variant>
        <vt:lpwstr/>
      </vt:variant>
      <vt:variant>
        <vt:lpwstr>_21.__Activos</vt:lpwstr>
      </vt:variant>
      <vt:variant>
        <vt:i4>5439541</vt:i4>
      </vt:variant>
      <vt:variant>
        <vt:i4>155</vt:i4>
      </vt:variant>
      <vt:variant>
        <vt:i4>0</vt:i4>
      </vt:variant>
      <vt:variant>
        <vt:i4>5</vt:i4>
      </vt:variant>
      <vt:variant>
        <vt:lpwstr/>
      </vt:variant>
      <vt:variant>
        <vt:lpwstr>_20.__Negocios</vt:lpwstr>
      </vt:variant>
      <vt:variant>
        <vt:i4>4849739</vt:i4>
      </vt:variant>
      <vt:variant>
        <vt:i4>152</vt:i4>
      </vt:variant>
      <vt:variant>
        <vt:i4>0</vt:i4>
      </vt:variant>
      <vt:variant>
        <vt:i4>5</vt:i4>
      </vt:variant>
      <vt:variant>
        <vt:lpwstr/>
      </vt:variant>
      <vt:variant>
        <vt:lpwstr>_19.__Combinaciones</vt:lpwstr>
      </vt:variant>
      <vt:variant>
        <vt:i4>5832713</vt:i4>
      </vt:variant>
      <vt:variant>
        <vt:i4>149</vt:i4>
      </vt:variant>
      <vt:variant>
        <vt:i4>0</vt:i4>
      </vt:variant>
      <vt:variant>
        <vt:i4>5</vt:i4>
      </vt:variant>
      <vt:variant>
        <vt:lpwstr/>
      </vt:variant>
      <vt:variant>
        <vt:lpwstr>_18.__Subvenciones,</vt:lpwstr>
      </vt:variant>
      <vt:variant>
        <vt:i4>5505094</vt:i4>
      </vt:variant>
      <vt:variant>
        <vt:i4>146</vt:i4>
      </vt:variant>
      <vt:variant>
        <vt:i4>0</vt:i4>
      </vt:variant>
      <vt:variant>
        <vt:i4>5</vt:i4>
      </vt:variant>
      <vt:variant>
        <vt:lpwstr/>
      </vt:variant>
      <vt:variant>
        <vt:lpwstr>_17.__Transacciones</vt:lpwstr>
      </vt:variant>
      <vt:variant>
        <vt:i4>6029400</vt:i4>
      </vt:variant>
      <vt:variant>
        <vt:i4>143</vt:i4>
      </vt:variant>
      <vt:variant>
        <vt:i4>0</vt:i4>
      </vt:variant>
      <vt:variant>
        <vt:i4>5</vt:i4>
      </vt:variant>
      <vt:variant>
        <vt:lpwstr/>
      </vt:variant>
      <vt:variant>
        <vt:lpwstr>_16.__Retribuciones</vt:lpwstr>
      </vt:variant>
      <vt:variant>
        <vt:i4>5570613</vt:i4>
      </vt:variant>
      <vt:variant>
        <vt:i4>140</vt:i4>
      </vt:variant>
      <vt:variant>
        <vt:i4>0</vt:i4>
      </vt:variant>
      <vt:variant>
        <vt:i4>5</vt:i4>
      </vt:variant>
      <vt:variant>
        <vt:lpwstr/>
      </vt:variant>
      <vt:variant>
        <vt:lpwstr>_15.__Informaci%C3%B3n</vt:lpwstr>
      </vt:variant>
      <vt:variant>
        <vt:i4>3997750</vt:i4>
      </vt:variant>
      <vt:variant>
        <vt:i4>137</vt:i4>
      </vt:variant>
      <vt:variant>
        <vt:i4>0</vt:i4>
      </vt:variant>
      <vt:variant>
        <vt:i4>5</vt:i4>
      </vt:variant>
      <vt:variant>
        <vt:lpwstr/>
      </vt:variant>
      <vt:variant>
        <vt:lpwstr>_14.__Provisiones</vt:lpwstr>
      </vt:variant>
      <vt:variant>
        <vt:i4>6029367</vt:i4>
      </vt:variant>
      <vt:variant>
        <vt:i4>134</vt:i4>
      </vt:variant>
      <vt:variant>
        <vt:i4>0</vt:i4>
      </vt:variant>
      <vt:variant>
        <vt:i4>5</vt:i4>
      </vt:variant>
      <vt:variant>
        <vt:lpwstr/>
      </vt:variant>
      <vt:variant>
        <vt:lpwstr>_13.__Ingresos</vt:lpwstr>
      </vt:variant>
      <vt:variant>
        <vt:i4>3866655</vt:i4>
      </vt:variant>
      <vt:variant>
        <vt:i4>131</vt:i4>
      </vt:variant>
      <vt:variant>
        <vt:i4>0</vt:i4>
      </vt:variant>
      <vt:variant>
        <vt:i4>5</vt:i4>
      </vt:variant>
      <vt:variant>
        <vt:lpwstr/>
      </vt:variant>
      <vt:variant>
        <vt:lpwstr>_12.2_Saldos_con</vt:lpwstr>
      </vt:variant>
      <vt:variant>
        <vt:i4>3866631</vt:i4>
      </vt:variant>
      <vt:variant>
        <vt:i4>128</vt:i4>
      </vt:variant>
      <vt:variant>
        <vt:i4>0</vt:i4>
      </vt:variant>
      <vt:variant>
        <vt:i4>5</vt:i4>
      </vt:variant>
      <vt:variant>
        <vt:lpwstr/>
      </vt:variant>
      <vt:variant>
        <vt:lpwstr>_12.1__Impuestos</vt:lpwstr>
      </vt:variant>
      <vt:variant>
        <vt:i4>2424904</vt:i4>
      </vt:variant>
      <vt:variant>
        <vt:i4>125</vt:i4>
      </vt:variant>
      <vt:variant>
        <vt:i4>0</vt:i4>
      </vt:variant>
      <vt:variant>
        <vt:i4>5</vt:i4>
      </vt:variant>
      <vt:variant>
        <vt:lpwstr/>
      </vt:variant>
      <vt:variant>
        <vt:lpwstr>_12.__Situaci%C3%B3n</vt:lpwstr>
      </vt:variant>
      <vt:variant>
        <vt:i4>2818134</vt:i4>
      </vt:variant>
      <vt:variant>
        <vt:i4>122</vt:i4>
      </vt:variant>
      <vt:variant>
        <vt:i4>0</vt:i4>
      </vt:variant>
      <vt:variant>
        <vt:i4>5</vt:i4>
      </vt:variant>
      <vt:variant>
        <vt:lpwstr/>
      </vt:variant>
      <vt:variant>
        <vt:lpwstr>_11.__Moneda</vt:lpwstr>
      </vt:variant>
      <vt:variant>
        <vt:i4>2883644</vt:i4>
      </vt:variant>
      <vt:variant>
        <vt:i4>119</vt:i4>
      </vt:variant>
      <vt:variant>
        <vt:i4>0</vt:i4>
      </vt:variant>
      <vt:variant>
        <vt:i4>5</vt:i4>
      </vt:variant>
      <vt:variant>
        <vt:lpwstr/>
      </vt:variant>
      <vt:variant>
        <vt:lpwstr>_10.__Existencias</vt:lpwstr>
      </vt:variant>
      <vt:variant>
        <vt:i4>2752585</vt:i4>
      </vt:variant>
      <vt:variant>
        <vt:i4>116</vt:i4>
      </vt:variant>
      <vt:variant>
        <vt:i4>0</vt:i4>
      </vt:variant>
      <vt:variant>
        <vt:i4>5</vt:i4>
      </vt:variant>
      <vt:variant>
        <vt:lpwstr/>
      </vt:variant>
      <vt:variant>
        <vt:lpwstr>_9.4__Fondos</vt:lpwstr>
      </vt:variant>
      <vt:variant>
        <vt:i4>4194350</vt:i4>
      </vt:variant>
      <vt:variant>
        <vt:i4>113</vt:i4>
      </vt:variant>
      <vt:variant>
        <vt:i4>0</vt:i4>
      </vt:variant>
      <vt:variant>
        <vt:i4>5</vt:i4>
      </vt:variant>
      <vt:variant>
        <vt:lpwstr/>
      </vt:variant>
      <vt:variant>
        <vt:lpwstr>_9.3__Informaci%C3%B3n</vt:lpwstr>
      </vt:variant>
      <vt:variant>
        <vt:i4>4259886</vt:i4>
      </vt:variant>
      <vt:variant>
        <vt:i4>110</vt:i4>
      </vt:variant>
      <vt:variant>
        <vt:i4>0</vt:i4>
      </vt:variant>
      <vt:variant>
        <vt:i4>5</vt:i4>
      </vt:variant>
      <vt:variant>
        <vt:lpwstr/>
      </vt:variant>
      <vt:variant>
        <vt:lpwstr>_9.2__Informaci%C3%B3n</vt:lpwstr>
      </vt:variant>
      <vt:variant>
        <vt:i4>4325422</vt:i4>
      </vt:variant>
      <vt:variant>
        <vt:i4>107</vt:i4>
      </vt:variant>
      <vt:variant>
        <vt:i4>0</vt:i4>
      </vt:variant>
      <vt:variant>
        <vt:i4>5</vt:i4>
      </vt:variant>
      <vt:variant>
        <vt:lpwstr/>
      </vt:variant>
      <vt:variant>
        <vt:lpwstr>_9.1__Informaci%C3%B3n</vt:lpwstr>
      </vt:variant>
      <vt:variant>
        <vt:i4>6422563</vt:i4>
      </vt:variant>
      <vt:variant>
        <vt:i4>104</vt:i4>
      </vt:variant>
      <vt:variant>
        <vt:i4>0</vt:i4>
      </vt:variant>
      <vt:variant>
        <vt:i4>5</vt:i4>
      </vt:variant>
      <vt:variant>
        <vt:lpwstr/>
      </vt:variant>
      <vt:variant>
        <vt:lpwstr>_9.__Instrumentos</vt:lpwstr>
      </vt:variant>
      <vt:variant>
        <vt:i4>2687066</vt:i4>
      </vt:variant>
      <vt:variant>
        <vt:i4>101</vt:i4>
      </vt:variant>
      <vt:variant>
        <vt:i4>0</vt:i4>
      </vt:variant>
      <vt:variant>
        <vt:i4>5</vt:i4>
      </vt:variant>
      <vt:variant>
        <vt:lpwstr/>
      </vt:variant>
      <vt:variant>
        <vt:lpwstr>_8.2__Arrendamientos</vt:lpwstr>
      </vt:variant>
      <vt:variant>
        <vt:i4>2752602</vt:i4>
      </vt:variant>
      <vt:variant>
        <vt:i4>98</vt:i4>
      </vt:variant>
      <vt:variant>
        <vt:i4>0</vt:i4>
      </vt:variant>
      <vt:variant>
        <vt:i4>5</vt:i4>
      </vt:variant>
      <vt:variant>
        <vt:lpwstr/>
      </vt:variant>
      <vt:variant>
        <vt:lpwstr>_8.1__Arrendamientos</vt:lpwstr>
      </vt:variant>
      <vt:variant>
        <vt:i4>1245266</vt:i4>
      </vt:variant>
      <vt:variant>
        <vt:i4>95</vt:i4>
      </vt:variant>
      <vt:variant>
        <vt:i4>0</vt:i4>
      </vt:variant>
      <vt:variant>
        <vt:i4>5</vt:i4>
      </vt:variant>
      <vt:variant>
        <vt:lpwstr/>
      </vt:variant>
      <vt:variant>
        <vt:lpwstr>_8.__Arrendamientos</vt:lpwstr>
      </vt:variant>
      <vt:variant>
        <vt:i4>3670073</vt:i4>
      </vt:variant>
      <vt:variant>
        <vt:i4>92</vt:i4>
      </vt:variant>
      <vt:variant>
        <vt:i4>0</vt:i4>
      </vt:variant>
      <vt:variant>
        <vt:i4>5</vt:i4>
      </vt:variant>
      <vt:variant>
        <vt:lpwstr/>
      </vt:variant>
      <vt:variant>
        <vt:lpwstr>_7.1__General</vt:lpwstr>
      </vt:variant>
      <vt:variant>
        <vt:i4>6815777</vt:i4>
      </vt:variant>
      <vt:variant>
        <vt:i4>89</vt:i4>
      </vt:variant>
      <vt:variant>
        <vt:i4>0</vt:i4>
      </vt:variant>
      <vt:variant>
        <vt:i4>5</vt:i4>
      </vt:variant>
      <vt:variant>
        <vt:lpwstr/>
      </vt:variant>
      <vt:variant>
        <vt:lpwstr>_7.__Inmovilizado</vt:lpwstr>
      </vt:variant>
      <vt:variant>
        <vt:i4>7340124</vt:i4>
      </vt:variant>
      <vt:variant>
        <vt:i4>86</vt:i4>
      </vt:variant>
      <vt:variant>
        <vt:i4>0</vt:i4>
      </vt:variant>
      <vt:variant>
        <vt:i4>5</vt:i4>
      </vt:variant>
      <vt:variant>
        <vt:lpwstr/>
      </vt:variant>
      <vt:variant>
        <vt:lpwstr>_6.__Inversiones</vt:lpwstr>
      </vt:variant>
      <vt:variant>
        <vt:i4>6946849</vt:i4>
      </vt:variant>
      <vt:variant>
        <vt:i4>83</vt:i4>
      </vt:variant>
      <vt:variant>
        <vt:i4>0</vt:i4>
      </vt:variant>
      <vt:variant>
        <vt:i4>5</vt:i4>
      </vt:variant>
      <vt:variant>
        <vt:lpwstr/>
      </vt:variant>
      <vt:variant>
        <vt:lpwstr>_5.__Inmovilizado</vt:lpwstr>
      </vt:variant>
      <vt:variant>
        <vt:i4>3735632</vt:i4>
      </vt:variant>
      <vt:variant>
        <vt:i4>80</vt:i4>
      </vt:variant>
      <vt:variant>
        <vt:i4>0</vt:i4>
      </vt:variant>
      <vt:variant>
        <vt:i4>5</vt:i4>
      </vt:variant>
      <vt:variant>
        <vt:lpwstr/>
      </vt:variant>
      <vt:variant>
        <vt:lpwstr>_4.15._Criterios_empleados</vt:lpwstr>
      </vt:variant>
      <vt:variant>
        <vt:i4>7929894</vt:i4>
      </vt:variant>
      <vt:variant>
        <vt:i4>77</vt:i4>
      </vt:variant>
      <vt:variant>
        <vt:i4>0</vt:i4>
      </vt:variant>
      <vt:variant>
        <vt:i4>5</vt:i4>
      </vt:variant>
      <vt:variant>
        <vt:lpwstr/>
      </vt:variant>
      <vt:variant>
        <vt:lpwstr>_4.14._Subvenciones,_donaciones</vt:lpwstr>
      </vt:variant>
      <vt:variant>
        <vt:i4>4784163</vt:i4>
      </vt:variant>
      <vt:variant>
        <vt:i4>74</vt:i4>
      </vt:variant>
      <vt:variant>
        <vt:i4>0</vt:i4>
      </vt:variant>
      <vt:variant>
        <vt:i4>5</vt:i4>
      </vt:variant>
      <vt:variant>
        <vt:lpwstr/>
      </vt:variant>
      <vt:variant>
        <vt:lpwstr>_4.13._Pagos_basados</vt:lpwstr>
      </vt:variant>
      <vt:variant>
        <vt:i4>3735639</vt:i4>
      </vt:variant>
      <vt:variant>
        <vt:i4>71</vt:i4>
      </vt:variant>
      <vt:variant>
        <vt:i4>0</vt:i4>
      </vt:variant>
      <vt:variant>
        <vt:i4>5</vt:i4>
      </vt:variant>
      <vt:variant>
        <vt:lpwstr/>
      </vt:variant>
      <vt:variant>
        <vt:lpwstr>_4.12._Criterios_empleados</vt:lpwstr>
      </vt:variant>
      <vt:variant>
        <vt:i4>3997780</vt:i4>
      </vt:variant>
      <vt:variant>
        <vt:i4>68</vt:i4>
      </vt:variant>
      <vt:variant>
        <vt:i4>0</vt:i4>
      </vt:variant>
      <vt:variant>
        <vt:i4>5</vt:i4>
      </vt:variant>
      <vt:variant>
        <vt:lpwstr/>
      </vt:variant>
      <vt:variant>
        <vt:lpwstr>_4.11._Elementos_patrimoniales</vt:lpwstr>
      </vt:variant>
      <vt:variant>
        <vt:i4>5242940</vt:i4>
      </vt:variant>
      <vt:variant>
        <vt:i4>65</vt:i4>
      </vt:variant>
      <vt:variant>
        <vt:i4>0</vt:i4>
      </vt:variant>
      <vt:variant>
        <vt:i4>5</vt:i4>
      </vt:variant>
      <vt:variant>
        <vt:lpwstr/>
      </vt:variant>
      <vt:variant>
        <vt:lpwstr>_4.10._Provisiones_y</vt:lpwstr>
      </vt:variant>
      <vt:variant>
        <vt:i4>3604484</vt:i4>
      </vt:variant>
      <vt:variant>
        <vt:i4>62</vt:i4>
      </vt:variant>
      <vt:variant>
        <vt:i4>0</vt:i4>
      </vt:variant>
      <vt:variant>
        <vt:i4>5</vt:i4>
      </vt:variant>
      <vt:variant>
        <vt:lpwstr/>
      </vt:variant>
      <vt:variant>
        <vt:lpwstr>_4.9._Ingresos_y</vt:lpwstr>
      </vt:variant>
      <vt:variant>
        <vt:i4>1376336</vt:i4>
      </vt:variant>
      <vt:variant>
        <vt:i4>59</vt:i4>
      </vt:variant>
      <vt:variant>
        <vt:i4>0</vt:i4>
      </vt:variant>
      <vt:variant>
        <vt:i4>5</vt:i4>
      </vt:variant>
      <vt:variant>
        <vt:lpwstr/>
      </vt:variant>
      <vt:variant>
        <vt:lpwstr>_4.8._Impuestos_sobre</vt:lpwstr>
      </vt:variant>
      <vt:variant>
        <vt:i4>1966163</vt:i4>
      </vt:variant>
      <vt:variant>
        <vt:i4>56</vt:i4>
      </vt:variant>
      <vt:variant>
        <vt:i4>0</vt:i4>
      </vt:variant>
      <vt:variant>
        <vt:i4>5</vt:i4>
      </vt:variant>
      <vt:variant>
        <vt:lpwstr/>
      </vt:variant>
      <vt:variant>
        <vt:lpwstr>_4.7._Existencias.</vt:lpwstr>
      </vt:variant>
      <vt:variant>
        <vt:i4>6160459</vt:i4>
      </vt:variant>
      <vt:variant>
        <vt:i4>53</vt:i4>
      </vt:variant>
      <vt:variant>
        <vt:i4>0</vt:i4>
      </vt:variant>
      <vt:variant>
        <vt:i4>5</vt:i4>
      </vt:variant>
      <vt:variant>
        <vt:lpwstr/>
      </vt:variant>
      <vt:variant>
        <vt:lpwstr>_4.6._Instrumentos_financieros.</vt:lpwstr>
      </vt:variant>
      <vt:variant>
        <vt:i4>5308519</vt:i4>
      </vt:variant>
      <vt:variant>
        <vt:i4>50</vt:i4>
      </vt:variant>
      <vt:variant>
        <vt:i4>0</vt:i4>
      </vt:variant>
      <vt:variant>
        <vt:i4>5</vt:i4>
      </vt:variant>
      <vt:variant>
        <vt:lpwstr/>
      </vt:variant>
      <vt:variant>
        <vt:lpwstr>_4.5._Permutas.</vt:lpwstr>
      </vt:variant>
      <vt:variant>
        <vt:i4>2293765</vt:i4>
      </vt:variant>
      <vt:variant>
        <vt:i4>47</vt:i4>
      </vt:variant>
      <vt:variant>
        <vt:i4>0</vt:i4>
      </vt:variant>
      <vt:variant>
        <vt:i4>5</vt:i4>
      </vt:variant>
      <vt:variant>
        <vt:lpwstr/>
      </vt:variant>
      <vt:variant>
        <vt:lpwstr>_4.4._Arrendamientos.</vt:lpwstr>
      </vt:variant>
      <vt:variant>
        <vt:i4>4784183</vt:i4>
      </vt:variant>
      <vt:variant>
        <vt:i4>44</vt:i4>
      </vt:variant>
      <vt:variant>
        <vt:i4>0</vt:i4>
      </vt:variant>
      <vt:variant>
        <vt:i4>5</vt:i4>
      </vt:variant>
      <vt:variant>
        <vt:lpwstr/>
      </vt:variant>
      <vt:variant>
        <vt:lpwstr>_4.3._Inversiones_Inmobiliarias.</vt:lpwstr>
      </vt:variant>
      <vt:variant>
        <vt:i4>7471105</vt:i4>
      </vt:variant>
      <vt:variant>
        <vt:i4>41</vt:i4>
      </vt:variant>
      <vt:variant>
        <vt:i4>0</vt:i4>
      </vt:variant>
      <vt:variant>
        <vt:i4>5</vt:i4>
      </vt:variant>
      <vt:variant>
        <vt:lpwstr/>
      </vt:variant>
      <vt:variant>
        <vt:lpwstr>_4.2._Inmovilizado_material.</vt:lpwstr>
      </vt:variant>
      <vt:variant>
        <vt:i4>852079</vt:i4>
      </vt:variant>
      <vt:variant>
        <vt:i4>38</vt:i4>
      </vt:variant>
      <vt:variant>
        <vt:i4>0</vt:i4>
      </vt:variant>
      <vt:variant>
        <vt:i4>5</vt:i4>
      </vt:variant>
      <vt:variant>
        <vt:lpwstr/>
      </vt:variant>
      <vt:variant>
        <vt:lpwstr>_4.1._Inmovilizado_intangible.</vt:lpwstr>
      </vt:variant>
      <vt:variant>
        <vt:i4>1441887</vt:i4>
      </vt:variant>
      <vt:variant>
        <vt:i4>35</vt:i4>
      </vt:variant>
      <vt:variant>
        <vt:i4>0</vt:i4>
      </vt:variant>
      <vt:variant>
        <vt:i4>5</vt:i4>
      </vt:variant>
      <vt:variant>
        <vt:lpwstr/>
      </vt:variant>
      <vt:variant>
        <vt:lpwstr>_4.__Normas</vt:lpwstr>
      </vt:variant>
      <vt:variant>
        <vt:i4>8061002</vt:i4>
      </vt:variant>
      <vt:variant>
        <vt:i4>32</vt:i4>
      </vt:variant>
      <vt:variant>
        <vt:i4>0</vt:i4>
      </vt:variant>
      <vt:variant>
        <vt:i4>5</vt:i4>
      </vt:variant>
      <vt:variant>
        <vt:lpwstr/>
      </vt:variant>
      <vt:variant>
        <vt:lpwstr>_3.__Aplicaci%C3%B3n</vt:lpwstr>
      </vt:variant>
      <vt:variant>
        <vt:i4>852022</vt:i4>
      </vt:variant>
      <vt:variant>
        <vt:i4>29</vt:i4>
      </vt:variant>
      <vt:variant>
        <vt:i4>0</vt:i4>
      </vt:variant>
      <vt:variant>
        <vt:i4>5</vt:i4>
      </vt:variant>
      <vt:variant>
        <vt:lpwstr/>
      </vt:variant>
      <vt:variant>
        <vt:lpwstr>_2.8._Correcci%C3%B3n_de</vt:lpwstr>
      </vt:variant>
      <vt:variant>
        <vt:i4>458798</vt:i4>
      </vt:variant>
      <vt:variant>
        <vt:i4>26</vt:i4>
      </vt:variant>
      <vt:variant>
        <vt:i4>0</vt:i4>
      </vt:variant>
      <vt:variant>
        <vt:i4>5</vt:i4>
      </vt:variant>
      <vt:variant>
        <vt:lpwstr/>
      </vt:variant>
      <vt:variant>
        <vt:lpwstr>_2.7._Cambios_en</vt:lpwstr>
      </vt:variant>
      <vt:variant>
        <vt:i4>524380</vt:i4>
      </vt:variant>
      <vt:variant>
        <vt:i4>23</vt:i4>
      </vt:variant>
      <vt:variant>
        <vt:i4>0</vt:i4>
      </vt:variant>
      <vt:variant>
        <vt:i4>5</vt:i4>
      </vt:variant>
      <vt:variant>
        <vt:lpwstr/>
      </vt:variant>
      <vt:variant>
        <vt:lpwstr>_2.6._Elementos_recogidos</vt:lpwstr>
      </vt:variant>
      <vt:variant>
        <vt:i4>852001</vt:i4>
      </vt:variant>
      <vt:variant>
        <vt:i4>20</vt:i4>
      </vt:variant>
      <vt:variant>
        <vt:i4>0</vt:i4>
      </vt:variant>
      <vt:variant>
        <vt:i4>5</vt:i4>
      </vt:variant>
      <vt:variant>
        <vt:lpwstr/>
      </vt:variant>
      <vt:variant>
        <vt:lpwstr>_2.5._Agrupaci%C3%B3n_de</vt:lpwstr>
      </vt:variant>
      <vt:variant>
        <vt:i4>2687095</vt:i4>
      </vt:variant>
      <vt:variant>
        <vt:i4>17</vt:i4>
      </vt:variant>
      <vt:variant>
        <vt:i4>0</vt:i4>
      </vt:variant>
      <vt:variant>
        <vt:i4>5</vt:i4>
      </vt:variant>
      <vt:variant>
        <vt:lpwstr/>
      </vt:variant>
      <vt:variant>
        <vt:lpwstr>_2.4._Comparaci%C3%B3n_de</vt:lpwstr>
      </vt:variant>
      <vt:variant>
        <vt:i4>4128843</vt:i4>
      </vt:variant>
      <vt:variant>
        <vt:i4>14</vt:i4>
      </vt:variant>
      <vt:variant>
        <vt:i4>0</vt:i4>
      </vt:variant>
      <vt:variant>
        <vt:i4>5</vt:i4>
      </vt:variant>
      <vt:variant>
        <vt:lpwstr/>
      </vt:variant>
      <vt:variant>
        <vt:lpwstr>_2.3._Aspectos_cr%C3%ADticos</vt:lpwstr>
      </vt:variant>
      <vt:variant>
        <vt:i4>4391033</vt:i4>
      </vt:variant>
      <vt:variant>
        <vt:i4>11</vt:i4>
      </vt:variant>
      <vt:variant>
        <vt:i4>0</vt:i4>
      </vt:variant>
      <vt:variant>
        <vt:i4>5</vt:i4>
      </vt:variant>
      <vt:variant>
        <vt:lpwstr/>
      </vt:variant>
      <vt:variant>
        <vt:lpwstr>_2.2._Principios_contables</vt:lpwstr>
      </vt:variant>
      <vt:variant>
        <vt:i4>1376360</vt:i4>
      </vt:variant>
      <vt:variant>
        <vt:i4>8</vt:i4>
      </vt:variant>
      <vt:variant>
        <vt:i4>0</vt:i4>
      </vt:variant>
      <vt:variant>
        <vt:i4>5</vt:i4>
      </vt:variant>
      <vt:variant>
        <vt:lpwstr/>
      </vt:variant>
      <vt:variant>
        <vt:lpwstr>_2.1._Imagen_fiel.</vt:lpwstr>
      </vt:variant>
      <vt:variant>
        <vt:i4>983082</vt:i4>
      </vt:variant>
      <vt:variant>
        <vt:i4>5</vt:i4>
      </vt:variant>
      <vt:variant>
        <vt:i4>0</vt:i4>
      </vt:variant>
      <vt:variant>
        <vt:i4>5</vt:i4>
      </vt:variant>
      <vt:variant>
        <vt:lpwstr/>
      </vt:variant>
      <vt:variant>
        <vt:lpwstr>_2.__Bases</vt:lpwstr>
      </vt:variant>
      <vt:variant>
        <vt:i4>852012</vt:i4>
      </vt:variant>
      <vt:variant>
        <vt:i4>2</vt:i4>
      </vt:variant>
      <vt:variant>
        <vt:i4>0</vt:i4>
      </vt:variant>
      <vt:variant>
        <vt:i4>5</vt:i4>
      </vt:variant>
      <vt:variant>
        <vt:lpwstr/>
      </vt:variant>
      <vt:variant>
        <vt:lpwstr>_1.__Actividad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de Memoria</dc:title>
  <dc:subject/>
  <dc:creator>Gema Martín de Almagro Vázquez</dc:creator>
  <cp:keywords/>
  <dc:description/>
  <cp:lastModifiedBy>Jordi Cid Diez</cp:lastModifiedBy>
  <cp:revision>19</cp:revision>
  <cp:lastPrinted>2022-06-22T17:20:00Z</cp:lastPrinted>
  <dcterms:created xsi:type="dcterms:W3CDTF">2022-06-18T10:34:00Z</dcterms:created>
  <dcterms:modified xsi:type="dcterms:W3CDTF">2022-06-22T17:24:00Z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uIndex">
    <vt:lpwstr>213</vt:lpwstr>
  </property>
</Properties>
</file>