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0B" w:rsidRDefault="001E680B" w:rsidP="001E680B">
      <w:pPr>
        <w:tabs>
          <w:tab w:val="center" w:pos="425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  <w:u w:val="single"/>
        </w:rPr>
      </w:pPr>
    </w:p>
    <w:p w:rsidR="001E680B" w:rsidRDefault="001E680B" w:rsidP="001E680B">
      <w:pPr>
        <w:tabs>
          <w:tab w:val="center" w:pos="425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  <w:u w:val="single"/>
        </w:rPr>
        <w:t>ALTALAY 7, S.A.</w:t>
      </w:r>
    </w:p>
    <w:p w:rsidR="001E680B" w:rsidRDefault="001E680B" w:rsidP="001E680B">
      <w:pPr>
        <w:tabs>
          <w:tab w:val="center" w:pos="4250"/>
        </w:tabs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INFORME DE GESTION DEL EJERCICIO </w:t>
      </w:r>
      <w:r w:rsidR="00FD06C9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1. Evolución de los negocios: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En el ejercicio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ha habido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beneficios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explotación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, en concreto de 1.555.539,98 €, retomando los resultados positivos habidos de forma continuada desde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 xml:space="preserve"> 2015</w:t>
      </w:r>
      <w:r w:rsidR="00AF37F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salvo por la excepción que supuso el año 2020, en el que se decretó la situación de emergencia sanitaria provocada por el COVID 19</w:t>
      </w:r>
      <w:r w:rsidR="00AF37F2">
        <w:rPr>
          <w:rFonts w:ascii="Times New Roman" w:hAnsi="Times New Roman" w:cs="Times New Roman"/>
          <w:spacing w:val="-3"/>
          <w:sz w:val="24"/>
          <w:szCs w:val="24"/>
        </w:rPr>
        <w:t xml:space="preserve">. En el ejercicio anterior </w:t>
      </w:r>
      <w:r w:rsidR="00F25E1B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="006A7FF4">
        <w:rPr>
          <w:rFonts w:ascii="Times New Roman" w:hAnsi="Times New Roman" w:cs="Times New Roman"/>
          <w:spacing w:val="-3"/>
          <w:sz w:val="24"/>
          <w:szCs w:val="24"/>
        </w:rPr>
        <w:t xml:space="preserve">registraron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unas pérdidas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explotación de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1.700.451,08</w:t>
      </w:r>
      <w:r w:rsidR="003E2155" w:rsidRPr="003E21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5E1B">
        <w:rPr>
          <w:rFonts w:ascii="Times New Roman" w:hAnsi="Times New Roman" w:cs="Times New Roman"/>
          <w:spacing w:val="-3"/>
          <w:sz w:val="24"/>
          <w:szCs w:val="24"/>
        </w:rPr>
        <w:t xml:space="preserve">euros.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 xml:space="preserve">Las subvenciones recibidas a final de 2021 sin duda han paliado el impacto negativo que provocó la situación de alarma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sanitaria, que</w:t>
      </w:r>
      <w:r w:rsidR="00AF37F2">
        <w:rPr>
          <w:rFonts w:ascii="Times New Roman" w:hAnsi="Times New Roman" w:cs="Times New Roman"/>
          <w:spacing w:val="-3"/>
          <w:sz w:val="24"/>
          <w:szCs w:val="24"/>
        </w:rPr>
        <w:t xml:space="preserve"> afectó principalmente a la actividad </w:t>
      </w:r>
      <w:proofErr w:type="spellStart"/>
      <w:r w:rsidR="00AF37F2">
        <w:rPr>
          <w:rFonts w:ascii="Times New Roman" w:hAnsi="Times New Roman" w:cs="Times New Roman"/>
          <w:spacing w:val="-3"/>
          <w:sz w:val="24"/>
          <w:szCs w:val="24"/>
        </w:rPr>
        <w:t>alojativa</w:t>
      </w:r>
      <w:proofErr w:type="spellEnd"/>
      <w:r w:rsidR="00AF37F2">
        <w:rPr>
          <w:rFonts w:ascii="Times New Roman" w:hAnsi="Times New Roman" w:cs="Times New Roman"/>
          <w:spacing w:val="-3"/>
          <w:sz w:val="24"/>
          <w:szCs w:val="24"/>
        </w:rPr>
        <w:t xml:space="preserve"> de los dos hoteles de la Sociedad</w:t>
      </w:r>
      <w:r w:rsidR="00AB6A85">
        <w:rPr>
          <w:rFonts w:ascii="Times New Roman" w:hAnsi="Times New Roman" w:cs="Times New Roman"/>
          <w:spacing w:val="-3"/>
          <w:sz w:val="24"/>
          <w:szCs w:val="24"/>
        </w:rPr>
        <w:t>, cerrados hasta el tercer trimestre de 2021,</w:t>
      </w:r>
      <w:r w:rsidR="00AF37F2">
        <w:rPr>
          <w:rFonts w:ascii="Times New Roman" w:hAnsi="Times New Roman" w:cs="Times New Roman"/>
          <w:spacing w:val="-3"/>
          <w:sz w:val="24"/>
          <w:szCs w:val="24"/>
        </w:rPr>
        <w:t xml:space="preserve"> y, en menor medida, al negocio de los alquileres de locales. </w:t>
      </w:r>
    </w:p>
    <w:p w:rsidR="00080BB3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Los Resultados Financieros han sido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>negativos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en el ejercicio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por importe de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5.297,51</w:t>
      </w:r>
      <w:r w:rsidR="00A53639">
        <w:rPr>
          <w:rFonts w:ascii="Times New Roman" w:hAnsi="Times New Roman" w:cs="Times New Roman"/>
          <w:spacing w:val="-3"/>
          <w:sz w:val="24"/>
          <w:szCs w:val="24"/>
        </w:rPr>
        <w:t xml:space="preserve"> euros,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mientras que en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2020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 fueron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también negativos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por importe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r w:rsidR="00BC35D0">
        <w:rPr>
          <w:rFonts w:ascii="Times New Roman" w:hAnsi="Times New Roman" w:cs="Times New Roman"/>
          <w:spacing w:val="-3"/>
          <w:sz w:val="24"/>
          <w:szCs w:val="24"/>
        </w:rPr>
        <w:t>2.009,56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. Estas pérdidas </w:t>
      </w:r>
      <w:r w:rsidR="006D3EF8">
        <w:rPr>
          <w:rFonts w:ascii="Times New Roman" w:hAnsi="Times New Roman" w:cs="Times New Roman"/>
          <w:spacing w:val="-3"/>
          <w:sz w:val="24"/>
          <w:szCs w:val="24"/>
        </w:rPr>
        <w:t>se explican por el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 coste de mantener las puntas de tesorería disponibles, </w:t>
      </w:r>
      <w:r w:rsidR="006D3EF8">
        <w:rPr>
          <w:rFonts w:ascii="Times New Roman" w:hAnsi="Times New Roman" w:cs="Times New Roman"/>
          <w:spacing w:val="-3"/>
          <w:sz w:val="24"/>
          <w:szCs w:val="24"/>
        </w:rPr>
        <w:t xml:space="preserve">que las entidades bancarias han empezado a repercutir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desde 2020</w:t>
      </w:r>
      <w:r w:rsidR="006D3E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por efecto de la cotización negativa del Euribor. 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A53639" w:rsidRPr="00E4159B">
        <w:rPr>
          <w:rFonts w:ascii="Times New Roman" w:hAnsi="Times New Roman" w:cs="Times New Roman"/>
          <w:spacing w:val="-3"/>
          <w:sz w:val="24"/>
          <w:szCs w:val="24"/>
        </w:rPr>
        <w:t>En este ejercicio</w:t>
      </w:r>
      <w:r w:rsidR="006A7FF4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3639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vuelve a</w:t>
      </w:r>
      <w:r w:rsidR="000B343E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la tendencia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de resultados </w:t>
      </w:r>
      <w:r w:rsidR="00F25E1B" w:rsidRPr="00E4159B">
        <w:rPr>
          <w:rFonts w:ascii="Times New Roman" w:hAnsi="Times New Roman" w:cs="Times New Roman"/>
          <w:spacing w:val="-3"/>
          <w:sz w:val="24"/>
          <w:szCs w:val="24"/>
        </w:rPr>
        <w:t>positiv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>os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5E1B" w:rsidRPr="00E4159B">
        <w:rPr>
          <w:rFonts w:ascii="Times New Roman" w:hAnsi="Times New Roman" w:cs="Times New Roman"/>
          <w:spacing w:val="-3"/>
          <w:sz w:val="24"/>
          <w:szCs w:val="24"/>
        </w:rPr>
        <w:t>iniciada en el año 2015, tras las pérdidas habida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s en </w:t>
      </w:r>
      <w:r w:rsidR="005D7298" w:rsidRPr="00E4159B">
        <w:rPr>
          <w:rFonts w:ascii="Times New Roman" w:hAnsi="Times New Roman" w:cs="Times New Roman"/>
          <w:spacing w:val="-3"/>
          <w:sz w:val="24"/>
          <w:szCs w:val="24"/>
        </w:rPr>
        <w:t>el período 2010-2014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53639" w:rsidRPr="00E4159B">
        <w:rPr>
          <w:rFonts w:ascii="Times New Roman" w:hAnsi="Times New Roman" w:cs="Times New Roman"/>
          <w:spacing w:val="-3"/>
          <w:sz w:val="24"/>
          <w:szCs w:val="24"/>
        </w:rPr>
        <w:t>gracias a las</w:t>
      </w:r>
      <w:r w:rsidR="007B6456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acciones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B6456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comerciales </w:t>
      </w:r>
      <w:r w:rsidR="00A53639" w:rsidRPr="00E4159B">
        <w:rPr>
          <w:rFonts w:ascii="Times New Roman" w:hAnsi="Times New Roman" w:cs="Times New Roman"/>
          <w:spacing w:val="-3"/>
          <w:sz w:val="24"/>
          <w:szCs w:val="24"/>
        </w:rPr>
        <w:t>implementadas, a la dotación de mayores</w:t>
      </w:r>
      <w:r w:rsidR="007B6456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recursos para  realizar una gestión de venta </w:t>
      </w:r>
      <w:r w:rsidR="007B6456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más 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>eficiente</w:t>
      </w:r>
      <w:r w:rsidR="00652B50" w:rsidRPr="00E4159B">
        <w:rPr>
          <w:rFonts w:ascii="Times New Roman" w:hAnsi="Times New Roman" w:cs="Times New Roman"/>
          <w:spacing w:val="-3"/>
          <w:sz w:val="24"/>
          <w:szCs w:val="24"/>
        </w:rPr>
        <w:t>, a las renovaciones integrales realiza</w:t>
      </w:r>
      <w:r w:rsidR="00F25E1B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das en el Hotel Laguna </w:t>
      </w:r>
      <w:proofErr w:type="spellStart"/>
      <w:r w:rsidR="00F25E1B" w:rsidRPr="00E4159B">
        <w:rPr>
          <w:rFonts w:ascii="Times New Roman" w:hAnsi="Times New Roman" w:cs="Times New Roman"/>
          <w:spacing w:val="-3"/>
          <w:sz w:val="24"/>
          <w:szCs w:val="24"/>
        </w:rPr>
        <w:t>Nivaria</w:t>
      </w:r>
      <w:proofErr w:type="spellEnd"/>
      <w:r w:rsidR="00C84FBD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, ya finalizada, </w:t>
      </w:r>
      <w:r w:rsidR="00652B50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y en el Hotel </w:t>
      </w:r>
      <w:proofErr w:type="spellStart"/>
      <w:r w:rsidR="00652B50" w:rsidRPr="00E4159B">
        <w:rPr>
          <w:rFonts w:ascii="Times New Roman" w:hAnsi="Times New Roman" w:cs="Times New Roman"/>
          <w:spacing w:val="-3"/>
          <w:sz w:val="24"/>
          <w:szCs w:val="24"/>
        </w:rPr>
        <w:t>Vallemar</w:t>
      </w:r>
      <w:proofErr w:type="spellEnd"/>
      <w:r w:rsidR="00652B50"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84FBD" w:rsidRPr="00E4159B">
        <w:rPr>
          <w:rFonts w:ascii="Times New Roman" w:hAnsi="Times New Roman" w:cs="Times New Roman"/>
          <w:spacing w:val="-3"/>
          <w:sz w:val="24"/>
          <w:szCs w:val="24"/>
        </w:rPr>
        <w:t>que aún se siguen acometiendo</w:t>
      </w:r>
      <w:r w:rsidR="00652B50" w:rsidRPr="00E4159B">
        <w:rPr>
          <w:rFonts w:ascii="Times New Roman" w:hAnsi="Times New Roman" w:cs="Times New Roman"/>
          <w:spacing w:val="-3"/>
          <w:sz w:val="24"/>
          <w:szCs w:val="24"/>
        </w:rPr>
        <w:t>, y a los</w:t>
      </w:r>
      <w:r w:rsidRPr="00E4159B">
        <w:rPr>
          <w:rFonts w:ascii="Times New Roman" w:hAnsi="Times New Roman" w:cs="Times New Roman"/>
          <w:spacing w:val="-3"/>
          <w:sz w:val="24"/>
          <w:szCs w:val="24"/>
        </w:rPr>
        <w:t xml:space="preserve"> ingresos adicionales por los alquileres de las viviendas y locales construidos en Los Realejos.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2. Situación de la sociedad.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La situación financiera y económica de la Sociedad, </w:t>
      </w:r>
      <w:r w:rsidR="007B1A3F">
        <w:rPr>
          <w:rFonts w:ascii="Times New Roman" w:hAnsi="Times New Roman" w:cs="Times New Roman"/>
          <w:spacing w:val="-3"/>
          <w:sz w:val="24"/>
          <w:szCs w:val="24"/>
        </w:rPr>
        <w:t xml:space="preserve">a pesar </w:t>
      </w:r>
      <w:r w:rsidR="00652B5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2B5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a comentada situación generada por la pandemia, y de que se ha aprovechado el cierre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 xml:space="preserve">obligatorio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de los hoteles para seguir realizando </w:t>
      </w:r>
      <w:r w:rsidR="00652B50">
        <w:rPr>
          <w:rFonts w:ascii="Times New Roman" w:hAnsi="Times New Roman" w:cs="Times New Roman"/>
          <w:spacing w:val="-3"/>
          <w:sz w:val="24"/>
          <w:szCs w:val="24"/>
        </w:rPr>
        <w:t xml:space="preserve">inversiones 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que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han mejorado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 la calidad de los mismos, </w:t>
      </w:r>
      <w:r>
        <w:rPr>
          <w:rFonts w:ascii="Times New Roman" w:hAnsi="Times New Roman" w:cs="Times New Roman"/>
          <w:spacing w:val="-3"/>
          <w:sz w:val="24"/>
          <w:szCs w:val="24"/>
        </w:rPr>
        <w:t>se mantiene en niveles excelentes, ya que</w:t>
      </w:r>
      <w:r w:rsidR="007B1A3F">
        <w:rPr>
          <w:rFonts w:ascii="Times New Roman" w:hAnsi="Times New Roman" w:cs="Times New Roman"/>
          <w:spacing w:val="-3"/>
          <w:sz w:val="24"/>
          <w:szCs w:val="24"/>
        </w:rPr>
        <w:t>, por ejemplo,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57BA">
        <w:rPr>
          <w:rFonts w:ascii="Times New Roman" w:hAnsi="Times New Roman" w:cs="Times New Roman"/>
          <w:spacing w:val="-3"/>
          <w:sz w:val="24"/>
          <w:szCs w:val="24"/>
        </w:rPr>
        <w:t>el ratio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solvencia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es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5,41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con unos fondos propios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39.146.952,76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euros y un capital circulante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6.607.678,51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euros, frente a un ratio</w:t>
      </w:r>
      <w:r w:rsidR="00E53E00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solvencia</w:t>
      </w:r>
      <w:r w:rsidR="00E53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3,62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unos fondos propios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36.894.797,53</w:t>
      </w:r>
      <w:r w:rsidR="009C53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7FF4">
        <w:rPr>
          <w:rFonts w:ascii="Times New Roman" w:hAnsi="Times New Roman" w:cs="Times New Roman"/>
          <w:spacing w:val="-3"/>
          <w:sz w:val="24"/>
          <w:szCs w:val="24"/>
        </w:rPr>
        <w:t>euros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y un capital circulante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2.869.276,77</w:t>
      </w:r>
      <w:r w:rsidR="005007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euros del </w:t>
      </w:r>
      <w:r w:rsidR="006A7FF4">
        <w:rPr>
          <w:rFonts w:ascii="Times New Roman" w:hAnsi="Times New Roman" w:cs="Times New Roman"/>
          <w:spacing w:val="-3"/>
          <w:sz w:val="24"/>
          <w:szCs w:val="24"/>
        </w:rPr>
        <w:t xml:space="preserve">ejercicio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2020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46B8F" w:rsidRDefault="00946B8F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46B8F" w:rsidRPr="00946B8F" w:rsidRDefault="00946B8F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46B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Período medio de pago a proveedores. </w:t>
      </w:r>
    </w:p>
    <w:p w:rsidR="00946B8F" w:rsidRDefault="00946B8F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El período medio de pago a proveedores fue de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>27,63</w:t>
      </w:r>
      <w:r w:rsidR="00F25E1B">
        <w:rPr>
          <w:rFonts w:ascii="Times New Roman" w:hAnsi="Times New Roman" w:cs="Times New Roman"/>
          <w:spacing w:val="-3"/>
          <w:sz w:val="24"/>
          <w:szCs w:val="24"/>
        </w:rPr>
        <w:t xml:space="preserve"> días en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y </w:t>
      </w:r>
      <w:r w:rsidR="005A7D81">
        <w:rPr>
          <w:rFonts w:ascii="Times New Roman" w:hAnsi="Times New Roman" w:cs="Times New Roman"/>
          <w:spacing w:val="-3"/>
          <w:sz w:val="24"/>
          <w:szCs w:val="24"/>
        </w:rPr>
        <w:t xml:space="preserve">40,40 </w:t>
      </w:r>
      <w:r w:rsidR="00F25E1B">
        <w:rPr>
          <w:rFonts w:ascii="Times New Roman" w:hAnsi="Times New Roman" w:cs="Times New Roman"/>
          <w:spacing w:val="-3"/>
          <w:sz w:val="24"/>
          <w:szCs w:val="24"/>
        </w:rPr>
        <w:t xml:space="preserve">días en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D556B" w:rsidRDefault="009D5B58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946B8F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. Acontecimientos importantes ocurridos después del cierre.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No han ocurrido hechos relevantes después del cierre del ejercicio que aconsejen la modificación de las cuentas anuales.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46B8F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3D0C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Políticas de gestión de riesgos. </w:t>
      </w:r>
    </w:p>
    <w:p w:rsidR="001E680B" w:rsidRPr="003D0CB6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ED020F">
        <w:rPr>
          <w:rFonts w:ascii="Times New Roman" w:hAnsi="Times New Roman" w:cs="Times New Roman"/>
          <w:spacing w:val="-3"/>
          <w:sz w:val="24"/>
          <w:szCs w:val="24"/>
        </w:rPr>
        <w:t>La Sociedad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20F">
        <w:rPr>
          <w:rFonts w:ascii="Times New Roman" w:hAnsi="Times New Roman" w:cs="Times New Roman"/>
          <w:spacing w:val="-3"/>
          <w:sz w:val="24"/>
          <w:szCs w:val="24"/>
        </w:rPr>
        <w:t>tiene establecidos los mecanismos necesarios para controlar la exposición a las variaciones en los tipos de interés y tipos de cambio, así como a los riesgos de crédito y liquidez</w:t>
      </w:r>
      <w:r>
        <w:rPr>
          <w:rFonts w:ascii="Times New Roman" w:hAnsi="Times New Roman" w:cs="Times New Roman"/>
          <w:spacing w:val="-3"/>
          <w:sz w:val="24"/>
          <w:szCs w:val="24"/>
        </w:rPr>
        <w:t>, como por ejemplo invertir los excedentes de tesorería en renta fija, mantener la</w:t>
      </w:r>
      <w:r w:rsidRPr="00ED020F">
        <w:rPr>
          <w:rFonts w:ascii="Times New Roman" w:hAnsi="Times New Roman" w:cs="Times New Roman"/>
          <w:spacing w:val="-3"/>
          <w:sz w:val="24"/>
          <w:szCs w:val="24"/>
        </w:rPr>
        <w:t xml:space="preserve"> tesorería y activos líquidos equivalentes en entidades financieras de elevado nivel crediticio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 no permitir una concentración elevada del riesgo de crédito</w:t>
      </w:r>
      <w:r w:rsidR="00E53E0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946B8F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. Adquisición de acciones propias.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Durante el pasado ejercicio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>, no se han adquirido acciones propias.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46B8F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. Gastos de I + D.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No existen en el apartado de I+D ninguna actividad que merezca mención especial en este informe: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65B7F" w:rsidRDefault="00C65B7F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65B7F" w:rsidRDefault="00C65B7F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E680B" w:rsidRDefault="007B1A3F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Madrid, a 30 de </w:t>
      </w:r>
      <w:r w:rsidR="00BC3421">
        <w:rPr>
          <w:rFonts w:ascii="Times New Roman" w:hAnsi="Times New Roman" w:cs="Times New Roman"/>
          <w:spacing w:val="-3"/>
          <w:sz w:val="24"/>
          <w:szCs w:val="24"/>
        </w:rPr>
        <w:t>marzo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2022</w:t>
      </w:r>
      <w:r w:rsidR="001E680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65B7F" w:rsidRDefault="00C65B7F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Firma la Administradora única.</w:t>
      </w: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María Angustias Benítez de Lugo e Ybarra.</w:t>
      </w:r>
    </w:p>
    <w:p w:rsidR="001E680B" w:rsidRDefault="001E680B" w:rsidP="001E680B">
      <w:pPr>
        <w:pStyle w:val="Ttulo8"/>
        <w:tabs>
          <w:tab w:val="clear" w:pos="0"/>
          <w:tab w:val="left" w:pos="-720"/>
        </w:tabs>
      </w:pPr>
      <w:r>
        <w:rPr>
          <w:sz w:val="28"/>
          <w:szCs w:val="28"/>
        </w:rPr>
        <w:br w:type="page"/>
      </w:r>
      <w:r>
        <w:t>FORMULACION DE LAS CUENTAS ANUALES</w:t>
      </w:r>
    </w:p>
    <w:p w:rsidR="001E680B" w:rsidRDefault="001E680B" w:rsidP="001E680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 INFORME DE GESTION.</w:t>
      </w: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La Administradora única de Altalay 7, S.A. con fecha 30 de </w:t>
      </w:r>
      <w:r w:rsidR="00E4159B">
        <w:rPr>
          <w:rFonts w:ascii="Times New Roman" w:hAnsi="Times New Roman" w:cs="Times New Roman"/>
          <w:spacing w:val="-3"/>
          <w:sz w:val="24"/>
          <w:szCs w:val="24"/>
        </w:rPr>
        <w:t>agosto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y en cumplimiento de los requisitos establecidos en el artículo 253 de la Ley de Sociedades de Capital y en el artículo 37 del Código de Comercio, procede a formular las cuentas anuales y el informe de gestión del ejercicio comprendido entre el 1 de enero de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y el 31 de diciembre de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2021</w:t>
      </w:r>
      <w:r>
        <w:rPr>
          <w:rFonts w:ascii="Times New Roman" w:hAnsi="Times New Roman" w:cs="Times New Roman"/>
          <w:spacing w:val="-3"/>
          <w:sz w:val="24"/>
          <w:szCs w:val="24"/>
        </w:rPr>
        <w:t>, las cuales vienen constituidas por los documentos anexos que preceden a este escrito.</w:t>
      </w: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B55AC9" w:rsidP="001E680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En Madrid, a 30 de </w:t>
      </w:r>
      <w:r w:rsidR="00971B3E">
        <w:rPr>
          <w:rFonts w:ascii="Times New Roman" w:hAnsi="Times New Roman" w:cs="Times New Roman"/>
          <w:spacing w:val="-3"/>
          <w:sz w:val="24"/>
          <w:szCs w:val="24"/>
        </w:rPr>
        <w:t>agosto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FD06C9">
        <w:rPr>
          <w:rFonts w:ascii="Times New Roman" w:hAnsi="Times New Roman" w:cs="Times New Roman"/>
          <w:spacing w:val="-3"/>
          <w:sz w:val="24"/>
          <w:szCs w:val="24"/>
        </w:rPr>
        <w:t>2022</w:t>
      </w:r>
      <w:r w:rsidR="001E680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E680B" w:rsidRDefault="001E680B" w:rsidP="001E680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Firma la Administradora única:</w:t>
      </w: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both"/>
        <w:rPr>
          <w:rFonts w:cs="Times New Roman"/>
          <w:spacing w:val="-3"/>
          <w:sz w:val="16"/>
          <w:szCs w:val="16"/>
        </w:rPr>
      </w:pPr>
    </w:p>
    <w:p w:rsidR="001E680B" w:rsidRDefault="001E680B" w:rsidP="001E680B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María Angustias Benítez de Lugo e Ybarra.</w:t>
      </w:r>
    </w:p>
    <w:p w:rsidR="001E680B" w:rsidRDefault="001E680B">
      <w:pPr>
        <w:rPr>
          <w:rFonts w:cs="Times New Roman"/>
        </w:rPr>
      </w:pPr>
    </w:p>
    <w:sectPr w:rsidR="001E680B" w:rsidSect="001E6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0" w:rsidRDefault="00195150" w:rsidP="001E68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150" w:rsidRDefault="00195150" w:rsidP="001E68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5" w:rsidRDefault="009C53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5" w:rsidRDefault="009C53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5" w:rsidRDefault="009C53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0" w:rsidRDefault="00195150" w:rsidP="001E68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150" w:rsidRDefault="00195150" w:rsidP="001E68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5" w:rsidRDefault="009C53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70" w:rsidRDefault="00195150">
    <w:pPr>
      <w:pStyle w:val="Encabezado"/>
      <w:rPr>
        <w:rFonts w:cs="Times New Roman"/>
      </w:rPr>
    </w:pPr>
    <w:r>
      <w:rPr>
        <w:noProof/>
      </w:rPr>
      <w:object w:dxaOrig="1440" w:dyaOrig="1440" w14:anchorId="592A3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0pt;margin-top:-18.55pt;width:1in;height:45pt;z-index:251657728;visibility:visible" wrapcoords="-450 -360 -450 21600 22050 21600 22050 -360 -450 -360" stroked="t" strokecolor="white" strokeweight="1pt">
          <v:imagedata r:id="rId1" o:title=""/>
          <w10:wrap type="tight"/>
        </v:shape>
        <o:OLEObject Type="Embed" ProgID="Word.Picture.8" ShapeID="_x0000_s2049" DrawAspect="Content" ObjectID="_172830072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A5" w:rsidRDefault="009C5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8CB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C"/>
    <w:rsid w:val="000156EC"/>
    <w:rsid w:val="00080BB3"/>
    <w:rsid w:val="000B343E"/>
    <w:rsid w:val="000B4BE2"/>
    <w:rsid w:val="00145BC3"/>
    <w:rsid w:val="001464A3"/>
    <w:rsid w:val="00195150"/>
    <w:rsid w:val="001E680B"/>
    <w:rsid w:val="00201DDE"/>
    <w:rsid w:val="00242E97"/>
    <w:rsid w:val="00251BC5"/>
    <w:rsid w:val="002557BA"/>
    <w:rsid w:val="003A6117"/>
    <w:rsid w:val="003E2155"/>
    <w:rsid w:val="003F0F44"/>
    <w:rsid w:val="004B2B5F"/>
    <w:rsid w:val="004F5014"/>
    <w:rsid w:val="004F5AF2"/>
    <w:rsid w:val="00500749"/>
    <w:rsid w:val="005515FC"/>
    <w:rsid w:val="00580A70"/>
    <w:rsid w:val="005A09DF"/>
    <w:rsid w:val="005A7D81"/>
    <w:rsid w:val="005D7298"/>
    <w:rsid w:val="00620650"/>
    <w:rsid w:val="00630F7C"/>
    <w:rsid w:val="00652B50"/>
    <w:rsid w:val="006A13B4"/>
    <w:rsid w:val="006A7267"/>
    <w:rsid w:val="006A7FF4"/>
    <w:rsid w:val="006D3EF8"/>
    <w:rsid w:val="00702B46"/>
    <w:rsid w:val="00730B58"/>
    <w:rsid w:val="00744151"/>
    <w:rsid w:val="007B1A3F"/>
    <w:rsid w:val="007B6456"/>
    <w:rsid w:val="007C2858"/>
    <w:rsid w:val="00820993"/>
    <w:rsid w:val="00850988"/>
    <w:rsid w:val="008B5C61"/>
    <w:rsid w:val="00910D53"/>
    <w:rsid w:val="009204CF"/>
    <w:rsid w:val="00946B8F"/>
    <w:rsid w:val="00951DAA"/>
    <w:rsid w:val="00964C8C"/>
    <w:rsid w:val="00971B3E"/>
    <w:rsid w:val="0099075E"/>
    <w:rsid w:val="009A4737"/>
    <w:rsid w:val="009C53A5"/>
    <w:rsid w:val="009D5B58"/>
    <w:rsid w:val="00A27C4E"/>
    <w:rsid w:val="00A53639"/>
    <w:rsid w:val="00A54D15"/>
    <w:rsid w:val="00A96580"/>
    <w:rsid w:val="00AB56C5"/>
    <w:rsid w:val="00AB6A85"/>
    <w:rsid w:val="00AD556B"/>
    <w:rsid w:val="00AF37F2"/>
    <w:rsid w:val="00B15551"/>
    <w:rsid w:val="00B167CA"/>
    <w:rsid w:val="00B255E7"/>
    <w:rsid w:val="00B26E16"/>
    <w:rsid w:val="00B55AC9"/>
    <w:rsid w:val="00B96424"/>
    <w:rsid w:val="00BA2F00"/>
    <w:rsid w:val="00BA36AE"/>
    <w:rsid w:val="00BC3421"/>
    <w:rsid w:val="00BC35D0"/>
    <w:rsid w:val="00BD109D"/>
    <w:rsid w:val="00BD2BC1"/>
    <w:rsid w:val="00BF5197"/>
    <w:rsid w:val="00C07450"/>
    <w:rsid w:val="00C12578"/>
    <w:rsid w:val="00C65B7F"/>
    <w:rsid w:val="00C84FBD"/>
    <w:rsid w:val="00CB51BE"/>
    <w:rsid w:val="00CC70BB"/>
    <w:rsid w:val="00E4159B"/>
    <w:rsid w:val="00E53E00"/>
    <w:rsid w:val="00ED3BD6"/>
    <w:rsid w:val="00F25E1B"/>
    <w:rsid w:val="00F65AEA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2200A"/>
  <w14:defaultImageDpi w14:val="330"/>
  <w15:chartTrackingRefBased/>
  <w15:docId w15:val="{7DD4E73C-FDFA-431B-8EAA-F2C070A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C"/>
    <w:rPr>
      <w:rFonts w:ascii="Courier" w:eastAsia="Times New Roman" w:hAnsi="Courier" w:cs="Courier"/>
    </w:rPr>
  </w:style>
  <w:style w:type="paragraph" w:styleId="Ttulo8">
    <w:name w:val="heading 8"/>
    <w:basedOn w:val="Normal"/>
    <w:next w:val="Normal"/>
    <w:link w:val="Ttulo8Car"/>
    <w:uiPriority w:val="99"/>
    <w:qFormat/>
    <w:rsid w:val="005515FC"/>
    <w:pPr>
      <w:keepNext/>
      <w:tabs>
        <w:tab w:val="left" w:pos="0"/>
      </w:tabs>
      <w:suppressAutoHyphens/>
      <w:jc w:val="center"/>
      <w:outlineLvl w:val="7"/>
    </w:pPr>
    <w:rPr>
      <w:rFonts w:ascii="Times New Roman" w:hAnsi="Times New Roman" w:cs="Times New Roman"/>
      <w:b/>
      <w:bCs/>
      <w:spacing w:val="-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uiPriority w:val="99"/>
    <w:locked/>
    <w:rsid w:val="005515FC"/>
    <w:rPr>
      <w:rFonts w:ascii="Times New Roman" w:hAnsi="Times New Roman" w:cs="Times New Roman"/>
      <w:b/>
      <w:bCs/>
      <w:spacing w:val="-3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551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515FC"/>
    <w:rPr>
      <w:rFonts w:ascii="Courier" w:hAnsi="Courier" w:cs="Courier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551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515FC"/>
    <w:rPr>
      <w:rFonts w:ascii="Courier" w:hAnsi="Courier" w:cs="Courier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A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5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ALTALAY 7, S</vt:lpstr>
      <vt:lpstr>ALTALAY 7, S</vt:lpstr>
    </vt:vector>
  </TitlesOfParts>
  <Company>CONSULTING ASECONTA SL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ALTALAY 7, S</dc:title>
  <dc:subject/>
  <dc:creator>JORDI CID DIEZ</dc:creator>
  <cp:keywords/>
  <dc:description/>
  <cp:lastModifiedBy>Jordi Cid Diez</cp:lastModifiedBy>
  <cp:revision>3</cp:revision>
  <cp:lastPrinted>2019-06-20T13:54:00Z</cp:lastPrinted>
  <dcterms:created xsi:type="dcterms:W3CDTF">2022-06-19T08:31:00Z</dcterms:created>
  <dcterms:modified xsi:type="dcterms:W3CDTF">2022-06-19T09:02:00Z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uIndex">
    <vt:lpwstr>205</vt:lpwstr>
  </property>
</Properties>
</file>